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C1F9" w14:textId="438C5278" w:rsidR="00D356F0" w:rsidRDefault="00B7030E" w:rsidP="00D356F0">
      <w:pPr>
        <w:pStyle w:val="DTitleBig"/>
        <w:ind w:left="-567"/>
      </w:pPr>
      <w:r>
        <w:rPr>
          <w:noProof/>
          <w:lang w:val="de-DE" w:eastAsia="de-DE"/>
        </w:rPr>
        <w:drawing>
          <wp:anchor distT="0" distB="0" distL="114300" distR="114300" simplePos="0" relativeHeight="251744256" behindDoc="0" locked="0" layoutInCell="1" allowOverlap="1" wp14:anchorId="0073FF6B" wp14:editId="1B5D8174">
            <wp:simplePos x="0" y="0"/>
            <wp:positionH relativeFrom="column">
              <wp:posOffset>-1292860</wp:posOffset>
            </wp:positionH>
            <wp:positionV relativeFrom="paragraph">
              <wp:posOffset>-2969260</wp:posOffset>
            </wp:positionV>
            <wp:extent cx="7977744" cy="1831340"/>
            <wp:effectExtent l="0" t="0" r="0" b="0"/>
            <wp:wrapNone/>
            <wp:docPr id="5" name="Bild 5" descr="Pharma-Header/Header-Desktop-Landingpage-Pharma-2560-Home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Header/Header-Desktop-Landingpage-Pharma-2560-Homeversio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157" r="16206"/>
                    <a:stretch/>
                  </pic:blipFill>
                  <pic:spPr bwMode="auto">
                    <a:xfrm>
                      <a:off x="0" y="0"/>
                      <a:ext cx="7977744" cy="1831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414535" w14:textId="77777777" w:rsidR="00B7030E" w:rsidRDefault="00B7030E" w:rsidP="00C75DC1">
      <w:pPr>
        <w:pStyle w:val="DTitleBig"/>
        <w:ind w:left="-567"/>
      </w:pPr>
    </w:p>
    <w:p w14:paraId="40AAD7D2" w14:textId="331364E7" w:rsidR="00D356F0" w:rsidRDefault="00815D83" w:rsidP="005E4177">
      <w:pPr>
        <w:pStyle w:val="DTitleBig"/>
        <w:ind w:left="-567"/>
      </w:pPr>
      <w:r>
        <w:t>Secure and C</w:t>
      </w:r>
      <w:r w:rsidR="005E4177">
        <w:t xml:space="preserve">ontrolled </w:t>
      </w:r>
      <w:r w:rsidR="005E4177">
        <w:br/>
      </w:r>
      <w:r>
        <w:t>F</w:t>
      </w:r>
      <w:r w:rsidR="005E4177">
        <w:t xml:space="preserve">ile </w:t>
      </w:r>
      <w:r>
        <w:t>S</w:t>
      </w:r>
      <w:r w:rsidR="005E4177">
        <w:t xml:space="preserve">haring </w:t>
      </w:r>
      <w:r>
        <w:t>&amp;</w:t>
      </w:r>
      <w:r w:rsidR="005E4177">
        <w:t xml:space="preserve"> </w:t>
      </w:r>
      <w:r w:rsidR="00BF2EDB">
        <w:br/>
      </w:r>
      <w:r>
        <w:t>W</w:t>
      </w:r>
      <w:r w:rsidR="005E4177">
        <w:t xml:space="preserve">orkflow </w:t>
      </w:r>
      <w:r>
        <w:t>M</w:t>
      </w:r>
      <w:r w:rsidR="005E4177">
        <w:t xml:space="preserve">anagement for </w:t>
      </w:r>
      <w:r>
        <w:t>P</w:t>
      </w:r>
      <w:r w:rsidR="005E4177">
        <w:t xml:space="preserve">harmaceutical </w:t>
      </w:r>
      <w:r>
        <w:t>I</w:t>
      </w:r>
      <w:r w:rsidR="005E4177">
        <w:t>ndustry</w:t>
      </w:r>
    </w:p>
    <w:p w14:paraId="37A56E82" w14:textId="77777777" w:rsidR="005E4177" w:rsidRPr="005E4177" w:rsidRDefault="005E4177" w:rsidP="005E4177">
      <w:pPr>
        <w:pStyle w:val="DTitleSmall"/>
        <w:jc w:val="left"/>
      </w:pPr>
    </w:p>
    <w:p w14:paraId="75265B71" w14:textId="0C341944" w:rsidR="00D356F0" w:rsidRPr="00513CB1" w:rsidRDefault="00D356F0" w:rsidP="00C75DC1">
      <w:pPr>
        <w:pStyle w:val="DTitleSmall"/>
        <w:ind w:left="-567"/>
      </w:pPr>
      <w:r>
        <w:br/>
      </w:r>
      <w:r w:rsidR="00815D83">
        <w:t>Whitep</w:t>
      </w:r>
      <w:r w:rsidR="0095045B">
        <w:t>aper</w:t>
      </w:r>
    </w:p>
    <w:p w14:paraId="5B8EFB2E" w14:textId="3A1AB72A" w:rsidR="00D356F0" w:rsidRPr="00513CB1" w:rsidRDefault="0095045B" w:rsidP="00D356F0">
      <w:pPr>
        <w:pStyle w:val="DDate"/>
        <w:ind w:left="-567"/>
      </w:pPr>
      <w:r>
        <w:t>Valid</w:t>
      </w:r>
      <w:r w:rsidR="00D356F0" w:rsidRPr="00513CB1">
        <w:t xml:space="preserve"> </w:t>
      </w:r>
      <w:r>
        <w:t>from</w:t>
      </w:r>
      <w:r w:rsidR="0053404F">
        <w:t xml:space="preserve"> </w:t>
      </w:r>
      <w:r w:rsidR="00B37B16">
        <w:t>5th</w:t>
      </w:r>
      <w:r>
        <w:t xml:space="preserve"> of </w:t>
      </w:r>
      <w:r w:rsidR="00B37B16">
        <w:t>August</w:t>
      </w:r>
      <w:r w:rsidR="00C75DC1" w:rsidRPr="00C75DC1">
        <w:rPr>
          <w:noProof/>
          <w:lang w:val="de-DE" w:eastAsia="de-DE"/>
        </w:rPr>
        <w:t xml:space="preserve"> </w:t>
      </w:r>
      <w:r w:rsidR="00D356F0">
        <w:t>2016</w:t>
      </w:r>
    </w:p>
    <w:p w14:paraId="190DF523" w14:textId="3167CD95" w:rsidR="00D356F0" w:rsidRPr="00513CB1" w:rsidRDefault="00D356F0" w:rsidP="00D356F0">
      <w:pPr>
        <w:sectPr w:rsidR="00D356F0" w:rsidRPr="00513CB1" w:rsidSect="00BF2EDB">
          <w:pgSz w:w="11906" w:h="16838"/>
          <w:pgMar w:top="4678" w:right="1247" w:bottom="2835" w:left="1758" w:header="0" w:footer="0" w:gutter="0"/>
          <w:cols w:space="708"/>
          <w:docGrid w:linePitch="360"/>
        </w:sectPr>
      </w:pPr>
      <w:r w:rsidRPr="006D044F">
        <w:rPr>
          <w:noProof/>
          <w:lang w:val="de-DE" w:eastAsia="de-DE"/>
        </w:rPr>
        <w:drawing>
          <wp:anchor distT="0" distB="0" distL="114300" distR="114300" simplePos="0" relativeHeight="251652096" behindDoc="1" locked="0" layoutInCell="1" allowOverlap="1" wp14:anchorId="616532BA" wp14:editId="12E65D98">
            <wp:simplePos x="0" y="0"/>
            <wp:positionH relativeFrom="page">
              <wp:posOffset>-2540</wp:posOffset>
            </wp:positionH>
            <wp:positionV relativeFrom="page">
              <wp:posOffset>9488494</wp:posOffset>
            </wp:positionV>
            <wp:extent cx="7560000" cy="1245600"/>
            <wp:effectExtent l="0" t="0" r="9525" b="0"/>
            <wp:wrapNone/>
            <wp:docPr id="2" name="Grafik 0" title="Faba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_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1F656" w14:textId="372473CB" w:rsidR="00D356F0" w:rsidRPr="00B634F7" w:rsidRDefault="00D356F0" w:rsidP="00D356F0">
      <w:pPr>
        <w:pStyle w:val="DCopyright"/>
        <w:rPr>
          <w:lang w:val="en-US"/>
        </w:rPr>
      </w:pPr>
      <w:r w:rsidRPr="00B634F7">
        <w:rPr>
          <w:lang w:val="en-US"/>
        </w:rPr>
        <w:lastRenderedPageBreak/>
        <w:t>Cop</w:t>
      </w:r>
      <w:r w:rsidR="001B4859">
        <w:rPr>
          <w:lang w:val="en-US"/>
        </w:rPr>
        <w:t xml:space="preserve">yright © Fabasoft </w:t>
      </w:r>
      <w:r w:rsidR="00DF4EEE">
        <w:rPr>
          <w:lang w:val="en-US"/>
        </w:rPr>
        <w:t>Austria</w:t>
      </w:r>
      <w:r w:rsidR="001B4859">
        <w:rPr>
          <w:lang w:val="en-US"/>
        </w:rPr>
        <w:t xml:space="preserve"> GmbH, </w:t>
      </w:r>
      <w:r w:rsidRPr="00B634F7">
        <w:rPr>
          <w:lang w:val="en-US"/>
        </w:rPr>
        <w:t xml:space="preserve">4020 Linz, </w:t>
      </w:r>
      <w:r w:rsidR="001B4859">
        <w:rPr>
          <w:lang w:val="en-US"/>
        </w:rPr>
        <w:t xml:space="preserve">Austria, </w:t>
      </w:r>
      <w:r>
        <w:rPr>
          <w:lang w:val="en-US"/>
        </w:rPr>
        <w:fldChar w:fldCharType="begin"/>
      </w:r>
      <w:r>
        <w:rPr>
          <w:lang w:val="en-US"/>
        </w:rPr>
        <w:instrText xml:space="preserve"> DATE \@ "yyyy" \* MERGEFORMAT </w:instrText>
      </w:r>
      <w:r>
        <w:rPr>
          <w:lang w:val="en-US"/>
        </w:rPr>
        <w:fldChar w:fldCharType="separate"/>
      </w:r>
      <w:r w:rsidR="00230C8B">
        <w:rPr>
          <w:noProof/>
          <w:lang w:val="en-US"/>
        </w:rPr>
        <w:t>2017</w:t>
      </w:r>
      <w:r>
        <w:rPr>
          <w:lang w:val="en-US"/>
        </w:rPr>
        <w:fldChar w:fldCharType="end"/>
      </w:r>
      <w:r w:rsidRPr="00B634F7">
        <w:rPr>
          <w:lang w:val="en-US"/>
        </w:rPr>
        <w:t xml:space="preserve">. </w:t>
      </w:r>
    </w:p>
    <w:p w14:paraId="7747E632" w14:textId="1B731E70" w:rsidR="00D356F0" w:rsidRPr="00C32764" w:rsidRDefault="00C32764" w:rsidP="00C32764">
      <w:pPr>
        <w:pStyle w:val="DPlaceholder"/>
        <w:rPr>
          <w:rFonts w:eastAsia="Times New Roman" w:cs="Times New Roman"/>
          <w:sz w:val="14"/>
          <w:szCs w:val="24"/>
          <w:lang w:val="de-AT"/>
        </w:rPr>
      </w:pPr>
      <w:r w:rsidRPr="00C32764">
        <w:rPr>
          <w:rFonts w:eastAsia="Times New Roman" w:cs="Times New Roman"/>
          <w:sz w:val="14"/>
          <w:szCs w:val="24"/>
          <w:lang w:val="de-AT"/>
        </w:rPr>
        <w:t>All rights reserved. All</w:t>
      </w:r>
      <w:r>
        <w:rPr>
          <w:rFonts w:eastAsia="Times New Roman" w:cs="Times New Roman"/>
          <w:sz w:val="14"/>
          <w:szCs w:val="24"/>
          <w:lang w:val="de-AT"/>
        </w:rPr>
        <w:t xml:space="preserve"> hardware and software names are t</w:t>
      </w:r>
      <w:r w:rsidRPr="00C32764">
        <w:rPr>
          <w:rFonts w:eastAsia="Times New Roman" w:cs="Times New Roman"/>
          <w:sz w:val="14"/>
          <w:szCs w:val="24"/>
          <w:lang w:val="de-AT"/>
        </w:rPr>
        <w:t xml:space="preserve">rade names </w:t>
      </w:r>
      <w:r>
        <w:rPr>
          <w:rFonts w:eastAsia="Times New Roman" w:cs="Times New Roman"/>
          <w:sz w:val="14"/>
          <w:szCs w:val="24"/>
          <w:lang w:val="de-AT"/>
        </w:rPr>
        <w:br/>
      </w:r>
      <w:r w:rsidRPr="00C32764">
        <w:rPr>
          <w:rFonts w:eastAsia="Times New Roman" w:cs="Times New Roman"/>
          <w:sz w:val="14"/>
          <w:szCs w:val="24"/>
          <w:lang w:val="de-AT"/>
        </w:rPr>
        <w:t>and / or trademarks of their respective manufacturers.</w:t>
      </w:r>
      <w:r>
        <w:rPr>
          <w:rFonts w:eastAsia="Times New Roman" w:cs="Times New Roman"/>
          <w:sz w:val="14"/>
          <w:szCs w:val="24"/>
          <w:lang w:val="de-AT"/>
        </w:rPr>
        <w:br/>
      </w:r>
      <w:r w:rsidRPr="00C32764">
        <w:rPr>
          <w:rFonts w:eastAsia="Times New Roman" w:cs="Times New Roman"/>
          <w:sz w:val="14"/>
          <w:szCs w:val="24"/>
          <w:lang w:val="de-AT"/>
        </w:rPr>
        <w:t>Due to the transmission and presentation of these documents alone</w:t>
      </w:r>
      <w:r>
        <w:rPr>
          <w:rFonts w:eastAsia="Times New Roman" w:cs="Times New Roman"/>
          <w:sz w:val="14"/>
          <w:szCs w:val="24"/>
          <w:lang w:val="de-AT"/>
        </w:rPr>
        <w:br/>
      </w:r>
      <w:r w:rsidRPr="00C32764">
        <w:rPr>
          <w:rFonts w:eastAsia="Times New Roman" w:cs="Times New Roman"/>
          <w:sz w:val="14"/>
          <w:szCs w:val="24"/>
          <w:lang w:val="de-AT"/>
        </w:rPr>
        <w:t>no rights to our software, our services and</w:t>
      </w:r>
      <w:r>
        <w:rPr>
          <w:rFonts w:eastAsia="Times New Roman" w:cs="Times New Roman"/>
          <w:sz w:val="14"/>
          <w:szCs w:val="24"/>
          <w:lang w:val="de-AT"/>
        </w:rPr>
        <w:t xml:space="preserve"> s</w:t>
      </w:r>
      <w:r w:rsidRPr="00C32764">
        <w:rPr>
          <w:rFonts w:eastAsia="Times New Roman" w:cs="Times New Roman"/>
          <w:sz w:val="14"/>
          <w:szCs w:val="24"/>
          <w:lang w:val="de-AT"/>
        </w:rPr>
        <w:t>ervice results or other proprietary rights founded.</w:t>
      </w:r>
      <w:r>
        <w:rPr>
          <w:rFonts w:eastAsia="Times New Roman" w:cs="Times New Roman"/>
          <w:sz w:val="14"/>
          <w:szCs w:val="24"/>
          <w:lang w:val="de-AT"/>
        </w:rPr>
        <w:br/>
      </w:r>
    </w:p>
    <w:p w14:paraId="1C570F71" w14:textId="77777777" w:rsidR="00D356F0" w:rsidRPr="00B900E1" w:rsidRDefault="00D356F0" w:rsidP="00D356F0"/>
    <w:p w14:paraId="52F81E84" w14:textId="77777777" w:rsidR="00D356F0" w:rsidRPr="00B900E1" w:rsidRDefault="00D356F0" w:rsidP="00D356F0">
      <w:pPr>
        <w:sectPr w:rsidR="00D356F0" w:rsidRPr="00B900E1" w:rsidSect="00E742A8">
          <w:headerReference w:type="default" r:id="rId11"/>
          <w:footerReference w:type="default" r:id="rId12"/>
          <w:pgSz w:w="11906" w:h="16838"/>
          <w:pgMar w:top="10065" w:right="1247" w:bottom="1134" w:left="1758" w:header="2835" w:footer="172" w:gutter="0"/>
          <w:cols w:space="708"/>
          <w:docGrid w:linePitch="360"/>
        </w:sectPr>
      </w:pPr>
      <w:bookmarkStart w:id="0" w:name="_GoBack"/>
      <w:bookmarkEnd w:id="0"/>
    </w:p>
    <w:p w14:paraId="13B79E33" w14:textId="6FD3ABD9" w:rsidR="00D356F0" w:rsidRDefault="0095045B" w:rsidP="00D356F0">
      <w:pPr>
        <w:pStyle w:val="DContent"/>
        <w:rPr>
          <w:lang w:val="de-DE"/>
        </w:rPr>
      </w:pPr>
      <w:r>
        <w:rPr>
          <w:lang w:val="de-DE"/>
        </w:rPr>
        <w:lastRenderedPageBreak/>
        <w:t>Content</w:t>
      </w:r>
      <w:r w:rsidR="00CA4602">
        <w:rPr>
          <w:lang w:val="de-DE"/>
        </w:rPr>
        <w:br/>
      </w:r>
    </w:p>
    <w:p w14:paraId="7ED3A9E8" w14:textId="77777777" w:rsidR="00B90E45" w:rsidRDefault="00D356F0">
      <w:pPr>
        <w:pStyle w:val="Verzeichnis1"/>
        <w:rPr>
          <w:rFonts w:asciiTheme="minorHAnsi" w:eastAsiaTheme="minorEastAsia" w:hAnsiTheme="minorHAnsi" w:cstheme="minorBidi"/>
          <w:b w:val="0"/>
          <w:bCs w:val="0"/>
          <w:iCs w:val="0"/>
          <w:color w:val="auto"/>
          <w:sz w:val="24"/>
          <w:lang w:val="de-DE" w:eastAsia="de-DE"/>
        </w:rPr>
      </w:pPr>
      <w:r>
        <w:rPr>
          <w:rFonts w:ascii="Times New Roman" w:hAnsi="Times New Roman"/>
          <w:i/>
          <w:sz w:val="24"/>
          <w:lang w:val="de-DE"/>
        </w:rPr>
        <w:fldChar w:fldCharType="begin"/>
      </w:r>
      <w:r>
        <w:rPr>
          <w:rFonts w:ascii="Times New Roman" w:hAnsi="Times New Roman"/>
          <w:sz w:val="24"/>
          <w:lang w:val="de-DE"/>
        </w:rPr>
        <w:instrText xml:space="preserve"> TOC \o "1-3" \h \z \u </w:instrText>
      </w:r>
      <w:r>
        <w:rPr>
          <w:rFonts w:ascii="Times New Roman" w:hAnsi="Times New Roman"/>
          <w:i/>
          <w:sz w:val="24"/>
          <w:lang w:val="de-DE"/>
        </w:rPr>
        <w:fldChar w:fldCharType="separate"/>
      </w:r>
      <w:hyperlink w:anchor="_Toc462923013" w:history="1">
        <w:r w:rsidR="00B90E45" w:rsidRPr="00560E4D">
          <w:rPr>
            <w:rStyle w:val="Link"/>
          </w:rPr>
          <w:t>1 Introduction</w:t>
        </w:r>
        <w:r w:rsidR="00B90E45">
          <w:rPr>
            <w:webHidden/>
          </w:rPr>
          <w:tab/>
        </w:r>
        <w:r w:rsidR="00B90E45">
          <w:rPr>
            <w:webHidden/>
          </w:rPr>
          <w:fldChar w:fldCharType="begin"/>
        </w:r>
        <w:r w:rsidR="00B90E45">
          <w:rPr>
            <w:webHidden/>
          </w:rPr>
          <w:instrText xml:space="preserve"> PAGEREF _Toc462923013 \h </w:instrText>
        </w:r>
        <w:r w:rsidR="00B90E45">
          <w:rPr>
            <w:webHidden/>
          </w:rPr>
        </w:r>
        <w:r w:rsidR="00B90E45">
          <w:rPr>
            <w:webHidden/>
          </w:rPr>
          <w:fldChar w:fldCharType="separate"/>
        </w:r>
        <w:r w:rsidR="00DF4EEE">
          <w:rPr>
            <w:webHidden/>
          </w:rPr>
          <w:t>4</w:t>
        </w:r>
        <w:r w:rsidR="00B90E45">
          <w:rPr>
            <w:webHidden/>
          </w:rPr>
          <w:fldChar w:fldCharType="end"/>
        </w:r>
      </w:hyperlink>
    </w:p>
    <w:p w14:paraId="192A2178" w14:textId="77777777" w:rsidR="00B90E45" w:rsidRDefault="00E94C3A">
      <w:pPr>
        <w:pStyle w:val="Verzeichnis1"/>
        <w:rPr>
          <w:rFonts w:asciiTheme="minorHAnsi" w:eastAsiaTheme="minorEastAsia" w:hAnsiTheme="minorHAnsi" w:cstheme="minorBidi"/>
          <w:b w:val="0"/>
          <w:bCs w:val="0"/>
          <w:iCs w:val="0"/>
          <w:color w:val="auto"/>
          <w:sz w:val="24"/>
          <w:lang w:val="de-DE" w:eastAsia="de-DE"/>
        </w:rPr>
      </w:pPr>
      <w:hyperlink w:anchor="_Toc462923014" w:history="1">
        <w:r w:rsidR="00B90E45" w:rsidRPr="00560E4D">
          <w:rPr>
            <w:rStyle w:val="Link"/>
          </w:rPr>
          <w:t>2 Terms and Conditions</w:t>
        </w:r>
        <w:r w:rsidR="00B90E45">
          <w:rPr>
            <w:webHidden/>
          </w:rPr>
          <w:tab/>
        </w:r>
        <w:r w:rsidR="00B90E45">
          <w:rPr>
            <w:webHidden/>
          </w:rPr>
          <w:fldChar w:fldCharType="begin"/>
        </w:r>
        <w:r w:rsidR="00B90E45">
          <w:rPr>
            <w:webHidden/>
          </w:rPr>
          <w:instrText xml:space="preserve"> PAGEREF _Toc462923014 \h </w:instrText>
        </w:r>
        <w:r w:rsidR="00B90E45">
          <w:rPr>
            <w:webHidden/>
          </w:rPr>
        </w:r>
        <w:r w:rsidR="00B90E45">
          <w:rPr>
            <w:webHidden/>
          </w:rPr>
          <w:fldChar w:fldCharType="separate"/>
        </w:r>
        <w:r w:rsidR="00DF4EEE">
          <w:rPr>
            <w:webHidden/>
          </w:rPr>
          <w:t>4</w:t>
        </w:r>
        <w:r w:rsidR="00B90E45">
          <w:rPr>
            <w:webHidden/>
          </w:rPr>
          <w:fldChar w:fldCharType="end"/>
        </w:r>
      </w:hyperlink>
    </w:p>
    <w:p w14:paraId="0052B990" w14:textId="77777777" w:rsidR="00B90E45" w:rsidRDefault="00E94C3A">
      <w:pPr>
        <w:pStyle w:val="Verzeichnis1"/>
        <w:rPr>
          <w:rFonts w:asciiTheme="minorHAnsi" w:eastAsiaTheme="minorEastAsia" w:hAnsiTheme="minorHAnsi" w:cstheme="minorBidi"/>
          <w:b w:val="0"/>
          <w:bCs w:val="0"/>
          <w:iCs w:val="0"/>
          <w:color w:val="auto"/>
          <w:sz w:val="24"/>
          <w:lang w:val="de-DE" w:eastAsia="de-DE"/>
        </w:rPr>
      </w:pPr>
      <w:hyperlink w:anchor="_Toc462923015" w:history="1">
        <w:r w:rsidR="00B90E45" w:rsidRPr="00560E4D">
          <w:rPr>
            <w:rStyle w:val="Link"/>
          </w:rPr>
          <w:t>3 Requirements for Pharmaceutical Industries</w:t>
        </w:r>
        <w:r w:rsidR="00B90E45">
          <w:rPr>
            <w:webHidden/>
          </w:rPr>
          <w:tab/>
        </w:r>
        <w:r w:rsidR="00B90E45">
          <w:rPr>
            <w:webHidden/>
          </w:rPr>
          <w:fldChar w:fldCharType="begin"/>
        </w:r>
        <w:r w:rsidR="00B90E45">
          <w:rPr>
            <w:webHidden/>
          </w:rPr>
          <w:instrText xml:space="preserve"> PAGEREF _Toc462923015 \h </w:instrText>
        </w:r>
        <w:r w:rsidR="00B90E45">
          <w:rPr>
            <w:webHidden/>
          </w:rPr>
        </w:r>
        <w:r w:rsidR="00B90E45">
          <w:rPr>
            <w:webHidden/>
          </w:rPr>
          <w:fldChar w:fldCharType="separate"/>
        </w:r>
        <w:r w:rsidR="00DF4EEE">
          <w:rPr>
            <w:webHidden/>
          </w:rPr>
          <w:t>5</w:t>
        </w:r>
        <w:r w:rsidR="00B90E45">
          <w:rPr>
            <w:webHidden/>
          </w:rPr>
          <w:fldChar w:fldCharType="end"/>
        </w:r>
      </w:hyperlink>
    </w:p>
    <w:p w14:paraId="00A568F0" w14:textId="77777777" w:rsidR="00B90E45" w:rsidRDefault="00E94C3A">
      <w:pPr>
        <w:pStyle w:val="Verzeichnis1"/>
        <w:rPr>
          <w:rFonts w:asciiTheme="minorHAnsi" w:eastAsiaTheme="minorEastAsia" w:hAnsiTheme="minorHAnsi" w:cstheme="minorBidi"/>
          <w:b w:val="0"/>
          <w:bCs w:val="0"/>
          <w:iCs w:val="0"/>
          <w:color w:val="auto"/>
          <w:sz w:val="24"/>
          <w:lang w:val="de-DE" w:eastAsia="de-DE"/>
        </w:rPr>
      </w:pPr>
      <w:hyperlink w:anchor="_Toc462923016" w:history="1">
        <w:r w:rsidR="00B90E45" w:rsidRPr="00560E4D">
          <w:rPr>
            <w:rStyle w:val="Link"/>
          </w:rPr>
          <w:t>4 Advantages</w:t>
        </w:r>
        <w:r w:rsidR="00B90E45">
          <w:rPr>
            <w:webHidden/>
          </w:rPr>
          <w:tab/>
        </w:r>
        <w:r w:rsidR="00B90E45">
          <w:rPr>
            <w:webHidden/>
          </w:rPr>
          <w:fldChar w:fldCharType="begin"/>
        </w:r>
        <w:r w:rsidR="00B90E45">
          <w:rPr>
            <w:webHidden/>
          </w:rPr>
          <w:instrText xml:space="preserve"> PAGEREF _Toc462923016 \h </w:instrText>
        </w:r>
        <w:r w:rsidR="00B90E45">
          <w:rPr>
            <w:webHidden/>
          </w:rPr>
        </w:r>
        <w:r w:rsidR="00B90E45">
          <w:rPr>
            <w:webHidden/>
          </w:rPr>
          <w:fldChar w:fldCharType="separate"/>
        </w:r>
        <w:r w:rsidR="00DF4EEE">
          <w:rPr>
            <w:webHidden/>
          </w:rPr>
          <w:t>7</w:t>
        </w:r>
        <w:r w:rsidR="00B90E45">
          <w:rPr>
            <w:webHidden/>
          </w:rPr>
          <w:fldChar w:fldCharType="end"/>
        </w:r>
      </w:hyperlink>
    </w:p>
    <w:p w14:paraId="64B76553"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17" w:history="1">
        <w:r w:rsidR="00B90E45" w:rsidRPr="00560E4D">
          <w:rPr>
            <w:rStyle w:val="Link"/>
            <w:noProof/>
          </w:rPr>
          <w:t>4.1 Security</w:t>
        </w:r>
        <w:r w:rsidR="00B90E45">
          <w:rPr>
            <w:noProof/>
            <w:webHidden/>
          </w:rPr>
          <w:tab/>
        </w:r>
        <w:r w:rsidR="00B90E45">
          <w:rPr>
            <w:noProof/>
            <w:webHidden/>
          </w:rPr>
          <w:fldChar w:fldCharType="begin"/>
        </w:r>
        <w:r w:rsidR="00B90E45">
          <w:rPr>
            <w:noProof/>
            <w:webHidden/>
          </w:rPr>
          <w:instrText xml:space="preserve"> PAGEREF _Toc462923017 \h </w:instrText>
        </w:r>
        <w:r w:rsidR="00B90E45">
          <w:rPr>
            <w:noProof/>
            <w:webHidden/>
          </w:rPr>
        </w:r>
        <w:r w:rsidR="00B90E45">
          <w:rPr>
            <w:noProof/>
            <w:webHidden/>
          </w:rPr>
          <w:fldChar w:fldCharType="separate"/>
        </w:r>
        <w:r w:rsidR="00DF4EEE">
          <w:rPr>
            <w:noProof/>
            <w:webHidden/>
          </w:rPr>
          <w:t>7</w:t>
        </w:r>
        <w:r w:rsidR="00B90E45">
          <w:rPr>
            <w:noProof/>
            <w:webHidden/>
          </w:rPr>
          <w:fldChar w:fldCharType="end"/>
        </w:r>
      </w:hyperlink>
    </w:p>
    <w:p w14:paraId="6AB71AD2"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18" w:history="1">
        <w:r w:rsidR="00B90E45" w:rsidRPr="00560E4D">
          <w:rPr>
            <w:rStyle w:val="Link"/>
            <w:noProof/>
          </w:rPr>
          <w:t>4.2 Transparency</w:t>
        </w:r>
        <w:r w:rsidR="00B90E45">
          <w:rPr>
            <w:noProof/>
            <w:webHidden/>
          </w:rPr>
          <w:tab/>
        </w:r>
        <w:r w:rsidR="00B90E45">
          <w:rPr>
            <w:noProof/>
            <w:webHidden/>
          </w:rPr>
          <w:fldChar w:fldCharType="begin"/>
        </w:r>
        <w:r w:rsidR="00B90E45">
          <w:rPr>
            <w:noProof/>
            <w:webHidden/>
          </w:rPr>
          <w:instrText xml:space="preserve"> PAGEREF _Toc462923018 \h </w:instrText>
        </w:r>
        <w:r w:rsidR="00B90E45">
          <w:rPr>
            <w:noProof/>
            <w:webHidden/>
          </w:rPr>
        </w:r>
        <w:r w:rsidR="00B90E45">
          <w:rPr>
            <w:noProof/>
            <w:webHidden/>
          </w:rPr>
          <w:fldChar w:fldCharType="separate"/>
        </w:r>
        <w:r w:rsidR="00DF4EEE">
          <w:rPr>
            <w:noProof/>
            <w:webHidden/>
          </w:rPr>
          <w:t>7</w:t>
        </w:r>
        <w:r w:rsidR="00B90E45">
          <w:rPr>
            <w:noProof/>
            <w:webHidden/>
          </w:rPr>
          <w:fldChar w:fldCharType="end"/>
        </w:r>
      </w:hyperlink>
    </w:p>
    <w:p w14:paraId="0D8CDE82"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19" w:history="1">
        <w:r w:rsidR="00B90E45" w:rsidRPr="00560E4D">
          <w:rPr>
            <w:rStyle w:val="Link"/>
            <w:noProof/>
          </w:rPr>
          <w:t>4.3 Compliance</w:t>
        </w:r>
        <w:r w:rsidR="00B90E45">
          <w:rPr>
            <w:noProof/>
            <w:webHidden/>
          </w:rPr>
          <w:tab/>
        </w:r>
        <w:r w:rsidR="00B90E45">
          <w:rPr>
            <w:noProof/>
            <w:webHidden/>
          </w:rPr>
          <w:fldChar w:fldCharType="begin"/>
        </w:r>
        <w:r w:rsidR="00B90E45">
          <w:rPr>
            <w:noProof/>
            <w:webHidden/>
          </w:rPr>
          <w:instrText xml:space="preserve"> PAGEREF _Toc462923019 \h </w:instrText>
        </w:r>
        <w:r w:rsidR="00B90E45">
          <w:rPr>
            <w:noProof/>
            <w:webHidden/>
          </w:rPr>
        </w:r>
        <w:r w:rsidR="00B90E45">
          <w:rPr>
            <w:noProof/>
            <w:webHidden/>
          </w:rPr>
          <w:fldChar w:fldCharType="separate"/>
        </w:r>
        <w:r w:rsidR="00DF4EEE">
          <w:rPr>
            <w:noProof/>
            <w:webHidden/>
          </w:rPr>
          <w:t>8</w:t>
        </w:r>
        <w:r w:rsidR="00B90E45">
          <w:rPr>
            <w:noProof/>
            <w:webHidden/>
          </w:rPr>
          <w:fldChar w:fldCharType="end"/>
        </w:r>
      </w:hyperlink>
    </w:p>
    <w:p w14:paraId="7040CA23"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20" w:history="1">
        <w:r w:rsidR="00B90E45" w:rsidRPr="00560E4D">
          <w:rPr>
            <w:rStyle w:val="Link"/>
            <w:noProof/>
          </w:rPr>
          <w:t>4.4 Quality</w:t>
        </w:r>
        <w:r w:rsidR="00B90E45">
          <w:rPr>
            <w:noProof/>
            <w:webHidden/>
          </w:rPr>
          <w:tab/>
        </w:r>
        <w:r w:rsidR="00B90E45">
          <w:rPr>
            <w:noProof/>
            <w:webHidden/>
          </w:rPr>
          <w:fldChar w:fldCharType="begin"/>
        </w:r>
        <w:r w:rsidR="00B90E45">
          <w:rPr>
            <w:noProof/>
            <w:webHidden/>
          </w:rPr>
          <w:instrText xml:space="preserve"> PAGEREF _Toc462923020 \h </w:instrText>
        </w:r>
        <w:r w:rsidR="00B90E45">
          <w:rPr>
            <w:noProof/>
            <w:webHidden/>
          </w:rPr>
        </w:r>
        <w:r w:rsidR="00B90E45">
          <w:rPr>
            <w:noProof/>
            <w:webHidden/>
          </w:rPr>
          <w:fldChar w:fldCharType="separate"/>
        </w:r>
        <w:r w:rsidR="00DF4EEE">
          <w:rPr>
            <w:noProof/>
            <w:webHidden/>
          </w:rPr>
          <w:t>8</w:t>
        </w:r>
        <w:r w:rsidR="00B90E45">
          <w:rPr>
            <w:noProof/>
            <w:webHidden/>
          </w:rPr>
          <w:fldChar w:fldCharType="end"/>
        </w:r>
      </w:hyperlink>
    </w:p>
    <w:p w14:paraId="0097814D"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21" w:history="1">
        <w:r w:rsidR="00B90E45" w:rsidRPr="00560E4D">
          <w:rPr>
            <w:rStyle w:val="Link"/>
            <w:noProof/>
          </w:rPr>
          <w:t>4.5 Experience</w:t>
        </w:r>
        <w:r w:rsidR="00B90E45">
          <w:rPr>
            <w:noProof/>
            <w:webHidden/>
          </w:rPr>
          <w:tab/>
        </w:r>
        <w:r w:rsidR="00B90E45">
          <w:rPr>
            <w:noProof/>
            <w:webHidden/>
          </w:rPr>
          <w:fldChar w:fldCharType="begin"/>
        </w:r>
        <w:r w:rsidR="00B90E45">
          <w:rPr>
            <w:noProof/>
            <w:webHidden/>
          </w:rPr>
          <w:instrText xml:space="preserve"> PAGEREF _Toc462923021 \h </w:instrText>
        </w:r>
        <w:r w:rsidR="00B90E45">
          <w:rPr>
            <w:noProof/>
            <w:webHidden/>
          </w:rPr>
        </w:r>
        <w:r w:rsidR="00B90E45">
          <w:rPr>
            <w:noProof/>
            <w:webHidden/>
          </w:rPr>
          <w:fldChar w:fldCharType="separate"/>
        </w:r>
        <w:r w:rsidR="00DF4EEE">
          <w:rPr>
            <w:noProof/>
            <w:webHidden/>
          </w:rPr>
          <w:t>8</w:t>
        </w:r>
        <w:r w:rsidR="00B90E45">
          <w:rPr>
            <w:noProof/>
            <w:webHidden/>
          </w:rPr>
          <w:fldChar w:fldCharType="end"/>
        </w:r>
      </w:hyperlink>
    </w:p>
    <w:p w14:paraId="4F481FB1"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22" w:history="1">
        <w:r w:rsidR="00B90E45" w:rsidRPr="00560E4D">
          <w:rPr>
            <w:rStyle w:val="Link"/>
            <w:noProof/>
          </w:rPr>
          <w:t>4.6 Agility</w:t>
        </w:r>
        <w:r w:rsidR="00B90E45">
          <w:rPr>
            <w:noProof/>
            <w:webHidden/>
          </w:rPr>
          <w:tab/>
        </w:r>
        <w:r w:rsidR="00B90E45">
          <w:rPr>
            <w:noProof/>
            <w:webHidden/>
          </w:rPr>
          <w:fldChar w:fldCharType="begin"/>
        </w:r>
        <w:r w:rsidR="00B90E45">
          <w:rPr>
            <w:noProof/>
            <w:webHidden/>
          </w:rPr>
          <w:instrText xml:space="preserve"> PAGEREF _Toc462923022 \h </w:instrText>
        </w:r>
        <w:r w:rsidR="00B90E45">
          <w:rPr>
            <w:noProof/>
            <w:webHidden/>
          </w:rPr>
        </w:r>
        <w:r w:rsidR="00B90E45">
          <w:rPr>
            <w:noProof/>
            <w:webHidden/>
          </w:rPr>
          <w:fldChar w:fldCharType="separate"/>
        </w:r>
        <w:r w:rsidR="00DF4EEE">
          <w:rPr>
            <w:noProof/>
            <w:webHidden/>
          </w:rPr>
          <w:t>8</w:t>
        </w:r>
        <w:r w:rsidR="00B90E45">
          <w:rPr>
            <w:noProof/>
            <w:webHidden/>
          </w:rPr>
          <w:fldChar w:fldCharType="end"/>
        </w:r>
      </w:hyperlink>
    </w:p>
    <w:p w14:paraId="1CF4B666"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23" w:history="1">
        <w:r w:rsidR="00B90E45" w:rsidRPr="00560E4D">
          <w:rPr>
            <w:rStyle w:val="Link"/>
            <w:noProof/>
          </w:rPr>
          <w:t>4.7 Flexibility</w:t>
        </w:r>
        <w:r w:rsidR="00B90E45">
          <w:rPr>
            <w:noProof/>
            <w:webHidden/>
          </w:rPr>
          <w:tab/>
        </w:r>
        <w:r w:rsidR="00B90E45">
          <w:rPr>
            <w:noProof/>
            <w:webHidden/>
          </w:rPr>
          <w:fldChar w:fldCharType="begin"/>
        </w:r>
        <w:r w:rsidR="00B90E45">
          <w:rPr>
            <w:noProof/>
            <w:webHidden/>
          </w:rPr>
          <w:instrText xml:space="preserve"> PAGEREF _Toc462923023 \h </w:instrText>
        </w:r>
        <w:r w:rsidR="00B90E45">
          <w:rPr>
            <w:noProof/>
            <w:webHidden/>
          </w:rPr>
        </w:r>
        <w:r w:rsidR="00B90E45">
          <w:rPr>
            <w:noProof/>
            <w:webHidden/>
          </w:rPr>
          <w:fldChar w:fldCharType="separate"/>
        </w:r>
        <w:r w:rsidR="00DF4EEE">
          <w:rPr>
            <w:noProof/>
            <w:webHidden/>
          </w:rPr>
          <w:t>8</w:t>
        </w:r>
        <w:r w:rsidR="00B90E45">
          <w:rPr>
            <w:noProof/>
            <w:webHidden/>
          </w:rPr>
          <w:fldChar w:fldCharType="end"/>
        </w:r>
      </w:hyperlink>
    </w:p>
    <w:p w14:paraId="730637F9"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24" w:history="1">
        <w:r w:rsidR="00B90E45" w:rsidRPr="00560E4D">
          <w:rPr>
            <w:rStyle w:val="Link"/>
            <w:noProof/>
          </w:rPr>
          <w:t>4.8 Simplicity</w:t>
        </w:r>
        <w:r w:rsidR="00B90E45">
          <w:rPr>
            <w:noProof/>
            <w:webHidden/>
          </w:rPr>
          <w:tab/>
        </w:r>
        <w:r w:rsidR="00B90E45">
          <w:rPr>
            <w:noProof/>
            <w:webHidden/>
          </w:rPr>
          <w:fldChar w:fldCharType="begin"/>
        </w:r>
        <w:r w:rsidR="00B90E45">
          <w:rPr>
            <w:noProof/>
            <w:webHidden/>
          </w:rPr>
          <w:instrText xml:space="preserve"> PAGEREF _Toc462923024 \h </w:instrText>
        </w:r>
        <w:r w:rsidR="00B90E45">
          <w:rPr>
            <w:noProof/>
            <w:webHidden/>
          </w:rPr>
        </w:r>
        <w:r w:rsidR="00B90E45">
          <w:rPr>
            <w:noProof/>
            <w:webHidden/>
          </w:rPr>
          <w:fldChar w:fldCharType="separate"/>
        </w:r>
        <w:r w:rsidR="00DF4EEE">
          <w:rPr>
            <w:noProof/>
            <w:webHidden/>
          </w:rPr>
          <w:t>9</w:t>
        </w:r>
        <w:r w:rsidR="00B90E45">
          <w:rPr>
            <w:noProof/>
            <w:webHidden/>
          </w:rPr>
          <w:fldChar w:fldCharType="end"/>
        </w:r>
      </w:hyperlink>
    </w:p>
    <w:p w14:paraId="509E5241"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25" w:history="1">
        <w:r w:rsidR="00B90E45" w:rsidRPr="00560E4D">
          <w:rPr>
            <w:rStyle w:val="Link"/>
            <w:noProof/>
          </w:rPr>
          <w:t>4.9 Support</w:t>
        </w:r>
        <w:r w:rsidR="00B90E45">
          <w:rPr>
            <w:noProof/>
            <w:webHidden/>
          </w:rPr>
          <w:tab/>
        </w:r>
        <w:r w:rsidR="00B90E45">
          <w:rPr>
            <w:noProof/>
            <w:webHidden/>
          </w:rPr>
          <w:fldChar w:fldCharType="begin"/>
        </w:r>
        <w:r w:rsidR="00B90E45">
          <w:rPr>
            <w:noProof/>
            <w:webHidden/>
          </w:rPr>
          <w:instrText xml:space="preserve"> PAGEREF _Toc462923025 \h </w:instrText>
        </w:r>
        <w:r w:rsidR="00B90E45">
          <w:rPr>
            <w:noProof/>
            <w:webHidden/>
          </w:rPr>
        </w:r>
        <w:r w:rsidR="00B90E45">
          <w:rPr>
            <w:noProof/>
            <w:webHidden/>
          </w:rPr>
          <w:fldChar w:fldCharType="separate"/>
        </w:r>
        <w:r w:rsidR="00DF4EEE">
          <w:rPr>
            <w:noProof/>
            <w:webHidden/>
          </w:rPr>
          <w:t>9</w:t>
        </w:r>
        <w:r w:rsidR="00B90E45">
          <w:rPr>
            <w:noProof/>
            <w:webHidden/>
          </w:rPr>
          <w:fldChar w:fldCharType="end"/>
        </w:r>
      </w:hyperlink>
    </w:p>
    <w:p w14:paraId="64C658C2" w14:textId="77777777" w:rsidR="00B90E45" w:rsidRDefault="00E94C3A">
      <w:pPr>
        <w:pStyle w:val="Verzeichnis2"/>
        <w:tabs>
          <w:tab w:val="right" w:leader="underscore" w:pos="8891"/>
        </w:tabs>
        <w:rPr>
          <w:rFonts w:asciiTheme="minorHAnsi" w:eastAsiaTheme="minorEastAsia" w:hAnsiTheme="minorHAnsi"/>
          <w:noProof/>
          <w:color w:val="auto"/>
          <w:sz w:val="24"/>
          <w:szCs w:val="24"/>
          <w:lang w:val="de-DE" w:eastAsia="de-DE"/>
        </w:rPr>
      </w:pPr>
      <w:hyperlink w:anchor="_Toc462923026" w:history="1">
        <w:r w:rsidR="00B90E45" w:rsidRPr="00560E4D">
          <w:rPr>
            <w:rStyle w:val="Link"/>
            <w:noProof/>
          </w:rPr>
          <w:t>4.10 Cost Efficiency</w:t>
        </w:r>
        <w:r w:rsidR="00B90E45">
          <w:rPr>
            <w:noProof/>
            <w:webHidden/>
          </w:rPr>
          <w:tab/>
        </w:r>
        <w:r w:rsidR="00B90E45">
          <w:rPr>
            <w:noProof/>
            <w:webHidden/>
          </w:rPr>
          <w:fldChar w:fldCharType="begin"/>
        </w:r>
        <w:r w:rsidR="00B90E45">
          <w:rPr>
            <w:noProof/>
            <w:webHidden/>
          </w:rPr>
          <w:instrText xml:space="preserve"> PAGEREF _Toc462923026 \h </w:instrText>
        </w:r>
        <w:r w:rsidR="00B90E45">
          <w:rPr>
            <w:noProof/>
            <w:webHidden/>
          </w:rPr>
        </w:r>
        <w:r w:rsidR="00B90E45">
          <w:rPr>
            <w:noProof/>
            <w:webHidden/>
          </w:rPr>
          <w:fldChar w:fldCharType="separate"/>
        </w:r>
        <w:r w:rsidR="00DF4EEE">
          <w:rPr>
            <w:noProof/>
            <w:webHidden/>
          </w:rPr>
          <w:t>9</w:t>
        </w:r>
        <w:r w:rsidR="00B90E45">
          <w:rPr>
            <w:noProof/>
            <w:webHidden/>
          </w:rPr>
          <w:fldChar w:fldCharType="end"/>
        </w:r>
      </w:hyperlink>
    </w:p>
    <w:p w14:paraId="2847FFD1" w14:textId="77777777" w:rsidR="00B90E45" w:rsidRDefault="00E94C3A">
      <w:pPr>
        <w:pStyle w:val="Verzeichnis1"/>
        <w:rPr>
          <w:rFonts w:asciiTheme="minorHAnsi" w:eastAsiaTheme="minorEastAsia" w:hAnsiTheme="minorHAnsi" w:cstheme="minorBidi"/>
          <w:b w:val="0"/>
          <w:bCs w:val="0"/>
          <w:iCs w:val="0"/>
          <w:color w:val="auto"/>
          <w:sz w:val="24"/>
          <w:lang w:val="de-DE" w:eastAsia="de-DE"/>
        </w:rPr>
      </w:pPr>
      <w:hyperlink w:anchor="_Toc462923027" w:history="1">
        <w:r w:rsidR="00B90E45" w:rsidRPr="00560E4D">
          <w:rPr>
            <w:rStyle w:val="Link"/>
          </w:rPr>
          <w:t>5 Responsibilities of the Pharmaceutical Company</w:t>
        </w:r>
        <w:r w:rsidR="00B90E45">
          <w:rPr>
            <w:webHidden/>
          </w:rPr>
          <w:tab/>
        </w:r>
        <w:r w:rsidR="00B90E45">
          <w:rPr>
            <w:webHidden/>
          </w:rPr>
          <w:fldChar w:fldCharType="begin"/>
        </w:r>
        <w:r w:rsidR="00B90E45">
          <w:rPr>
            <w:webHidden/>
          </w:rPr>
          <w:instrText xml:space="preserve"> PAGEREF _Toc462923027 \h </w:instrText>
        </w:r>
        <w:r w:rsidR="00B90E45">
          <w:rPr>
            <w:webHidden/>
          </w:rPr>
        </w:r>
        <w:r w:rsidR="00B90E45">
          <w:rPr>
            <w:webHidden/>
          </w:rPr>
          <w:fldChar w:fldCharType="separate"/>
        </w:r>
        <w:r w:rsidR="00DF4EEE">
          <w:rPr>
            <w:webHidden/>
          </w:rPr>
          <w:t>10</w:t>
        </w:r>
        <w:r w:rsidR="00B90E45">
          <w:rPr>
            <w:webHidden/>
          </w:rPr>
          <w:fldChar w:fldCharType="end"/>
        </w:r>
      </w:hyperlink>
    </w:p>
    <w:p w14:paraId="6D2DB9A2" w14:textId="77777777" w:rsidR="00B90E45" w:rsidRDefault="00E94C3A">
      <w:pPr>
        <w:pStyle w:val="Verzeichnis1"/>
        <w:rPr>
          <w:rFonts w:asciiTheme="minorHAnsi" w:eastAsiaTheme="minorEastAsia" w:hAnsiTheme="minorHAnsi" w:cstheme="minorBidi"/>
          <w:b w:val="0"/>
          <w:bCs w:val="0"/>
          <w:iCs w:val="0"/>
          <w:color w:val="auto"/>
          <w:sz w:val="24"/>
          <w:lang w:val="de-DE" w:eastAsia="de-DE"/>
        </w:rPr>
      </w:pPr>
      <w:hyperlink w:anchor="_Toc462923028" w:history="1">
        <w:r w:rsidR="00B90E45" w:rsidRPr="00560E4D">
          <w:rPr>
            <w:rStyle w:val="Link"/>
          </w:rPr>
          <w:t>6 Certificates</w:t>
        </w:r>
        <w:r w:rsidR="00B90E45">
          <w:rPr>
            <w:webHidden/>
          </w:rPr>
          <w:tab/>
        </w:r>
        <w:r w:rsidR="00B90E45">
          <w:rPr>
            <w:webHidden/>
          </w:rPr>
          <w:fldChar w:fldCharType="begin"/>
        </w:r>
        <w:r w:rsidR="00B90E45">
          <w:rPr>
            <w:webHidden/>
          </w:rPr>
          <w:instrText xml:space="preserve"> PAGEREF _Toc462923028 \h </w:instrText>
        </w:r>
        <w:r w:rsidR="00B90E45">
          <w:rPr>
            <w:webHidden/>
          </w:rPr>
        </w:r>
        <w:r w:rsidR="00B90E45">
          <w:rPr>
            <w:webHidden/>
          </w:rPr>
          <w:fldChar w:fldCharType="separate"/>
        </w:r>
        <w:r w:rsidR="00DF4EEE">
          <w:rPr>
            <w:webHidden/>
          </w:rPr>
          <w:t>10</w:t>
        </w:r>
        <w:r w:rsidR="00B90E45">
          <w:rPr>
            <w:webHidden/>
          </w:rPr>
          <w:fldChar w:fldCharType="end"/>
        </w:r>
      </w:hyperlink>
    </w:p>
    <w:p w14:paraId="0E376B59" w14:textId="77777777" w:rsidR="00B90E45" w:rsidRDefault="00E94C3A">
      <w:pPr>
        <w:pStyle w:val="Verzeichnis1"/>
        <w:rPr>
          <w:rFonts w:asciiTheme="minorHAnsi" w:eastAsiaTheme="minorEastAsia" w:hAnsiTheme="minorHAnsi" w:cstheme="minorBidi"/>
          <w:b w:val="0"/>
          <w:bCs w:val="0"/>
          <w:iCs w:val="0"/>
          <w:color w:val="auto"/>
          <w:sz w:val="24"/>
          <w:lang w:val="de-DE" w:eastAsia="de-DE"/>
        </w:rPr>
      </w:pPr>
      <w:hyperlink w:anchor="_Toc462923029" w:history="1">
        <w:r w:rsidR="00B90E45" w:rsidRPr="00560E4D">
          <w:rPr>
            <w:rStyle w:val="Link"/>
          </w:rPr>
          <w:t>7 GxP Compliance</w:t>
        </w:r>
        <w:r w:rsidR="00B90E45">
          <w:rPr>
            <w:webHidden/>
          </w:rPr>
          <w:tab/>
        </w:r>
        <w:r w:rsidR="00B90E45">
          <w:rPr>
            <w:webHidden/>
          </w:rPr>
          <w:fldChar w:fldCharType="begin"/>
        </w:r>
        <w:r w:rsidR="00B90E45">
          <w:rPr>
            <w:webHidden/>
          </w:rPr>
          <w:instrText xml:space="preserve"> PAGEREF _Toc462923029 \h </w:instrText>
        </w:r>
        <w:r w:rsidR="00B90E45">
          <w:rPr>
            <w:webHidden/>
          </w:rPr>
        </w:r>
        <w:r w:rsidR="00B90E45">
          <w:rPr>
            <w:webHidden/>
          </w:rPr>
          <w:fldChar w:fldCharType="separate"/>
        </w:r>
        <w:r w:rsidR="00DF4EEE">
          <w:rPr>
            <w:webHidden/>
          </w:rPr>
          <w:t>12</w:t>
        </w:r>
        <w:r w:rsidR="00B90E45">
          <w:rPr>
            <w:webHidden/>
          </w:rPr>
          <w:fldChar w:fldCharType="end"/>
        </w:r>
      </w:hyperlink>
    </w:p>
    <w:p w14:paraId="7F1DF398" w14:textId="77777777" w:rsidR="00B90E45" w:rsidRDefault="00E94C3A">
      <w:pPr>
        <w:pStyle w:val="Verzeichnis1"/>
        <w:rPr>
          <w:rFonts w:asciiTheme="minorHAnsi" w:eastAsiaTheme="minorEastAsia" w:hAnsiTheme="minorHAnsi" w:cstheme="minorBidi"/>
          <w:b w:val="0"/>
          <w:bCs w:val="0"/>
          <w:iCs w:val="0"/>
          <w:color w:val="auto"/>
          <w:sz w:val="24"/>
          <w:lang w:val="de-DE" w:eastAsia="de-DE"/>
        </w:rPr>
      </w:pPr>
      <w:hyperlink w:anchor="_Toc462923030" w:history="1">
        <w:r w:rsidR="00B90E45" w:rsidRPr="00560E4D">
          <w:rPr>
            <w:rStyle w:val="Link"/>
          </w:rPr>
          <w:t>8 Comparison EU GMP Annex 11 &amp; FDA 21 CFR Part 11</w:t>
        </w:r>
        <w:r w:rsidR="00B90E45">
          <w:rPr>
            <w:webHidden/>
          </w:rPr>
          <w:tab/>
        </w:r>
        <w:r w:rsidR="00B90E45">
          <w:rPr>
            <w:webHidden/>
          </w:rPr>
          <w:fldChar w:fldCharType="begin"/>
        </w:r>
        <w:r w:rsidR="00B90E45">
          <w:rPr>
            <w:webHidden/>
          </w:rPr>
          <w:instrText xml:space="preserve"> PAGEREF _Toc462923030 \h </w:instrText>
        </w:r>
        <w:r w:rsidR="00B90E45">
          <w:rPr>
            <w:webHidden/>
          </w:rPr>
        </w:r>
        <w:r w:rsidR="00B90E45">
          <w:rPr>
            <w:webHidden/>
          </w:rPr>
          <w:fldChar w:fldCharType="separate"/>
        </w:r>
        <w:r w:rsidR="00DF4EEE">
          <w:rPr>
            <w:webHidden/>
          </w:rPr>
          <w:t>13</w:t>
        </w:r>
        <w:r w:rsidR="00B90E45">
          <w:rPr>
            <w:webHidden/>
          </w:rPr>
          <w:fldChar w:fldCharType="end"/>
        </w:r>
      </w:hyperlink>
    </w:p>
    <w:p w14:paraId="3B170C40" w14:textId="77777777" w:rsidR="00B90E45" w:rsidRDefault="00E94C3A">
      <w:pPr>
        <w:pStyle w:val="Verzeichnis1"/>
        <w:rPr>
          <w:rFonts w:asciiTheme="minorHAnsi" w:eastAsiaTheme="minorEastAsia" w:hAnsiTheme="minorHAnsi" w:cstheme="minorBidi"/>
          <w:b w:val="0"/>
          <w:bCs w:val="0"/>
          <w:iCs w:val="0"/>
          <w:color w:val="auto"/>
          <w:sz w:val="24"/>
          <w:lang w:val="de-DE" w:eastAsia="de-DE"/>
        </w:rPr>
      </w:pPr>
      <w:hyperlink w:anchor="_Toc462923031" w:history="1">
        <w:r w:rsidR="00B90E45" w:rsidRPr="00560E4D">
          <w:rPr>
            <w:rStyle w:val="Link"/>
          </w:rPr>
          <w:t>9 Fabasoft</w:t>
        </w:r>
        <w:r w:rsidR="00B90E45">
          <w:rPr>
            <w:webHidden/>
          </w:rPr>
          <w:tab/>
        </w:r>
        <w:r w:rsidR="00B90E45">
          <w:rPr>
            <w:webHidden/>
          </w:rPr>
          <w:fldChar w:fldCharType="begin"/>
        </w:r>
        <w:r w:rsidR="00B90E45">
          <w:rPr>
            <w:webHidden/>
          </w:rPr>
          <w:instrText xml:space="preserve"> PAGEREF _Toc462923031 \h </w:instrText>
        </w:r>
        <w:r w:rsidR="00B90E45">
          <w:rPr>
            <w:webHidden/>
          </w:rPr>
        </w:r>
        <w:r w:rsidR="00B90E45">
          <w:rPr>
            <w:webHidden/>
          </w:rPr>
          <w:fldChar w:fldCharType="separate"/>
        </w:r>
        <w:r w:rsidR="00DF4EEE">
          <w:rPr>
            <w:webHidden/>
          </w:rPr>
          <w:t>14</w:t>
        </w:r>
        <w:r w:rsidR="00B90E45">
          <w:rPr>
            <w:webHidden/>
          </w:rPr>
          <w:fldChar w:fldCharType="end"/>
        </w:r>
      </w:hyperlink>
    </w:p>
    <w:p w14:paraId="358863C2" w14:textId="77777777" w:rsidR="00D356F0" w:rsidRDefault="00D356F0" w:rsidP="00D356F0">
      <w:pPr>
        <w:rPr>
          <w:noProof/>
          <w:lang w:val="de-DE"/>
        </w:rPr>
      </w:pPr>
      <w:r>
        <w:rPr>
          <w:noProof/>
          <w:lang w:val="de-DE"/>
        </w:rPr>
        <w:fldChar w:fldCharType="end"/>
      </w:r>
    </w:p>
    <w:p w14:paraId="4C67E4F7" w14:textId="77777777" w:rsidR="00D356F0" w:rsidRDefault="00D356F0" w:rsidP="00D356F0">
      <w:pPr>
        <w:rPr>
          <w:noProof/>
          <w:lang w:val="de-DE"/>
        </w:rPr>
      </w:pPr>
      <w:r>
        <w:rPr>
          <w:noProof/>
          <w:lang w:val="de-DE"/>
        </w:rPr>
        <w:br w:type="page"/>
      </w:r>
    </w:p>
    <w:p w14:paraId="32A5F445" w14:textId="69E43B53" w:rsidR="002D0AE0" w:rsidRDefault="005A39D9" w:rsidP="002D0AE0">
      <w:pPr>
        <w:pStyle w:val="berschrift1"/>
      </w:pPr>
      <w:bookmarkStart w:id="1" w:name="_Toc462923013"/>
      <w:r>
        <w:lastRenderedPageBreak/>
        <w:t>Introduction</w:t>
      </w:r>
      <w:bookmarkEnd w:id="1"/>
    </w:p>
    <w:p w14:paraId="73C4DEFA" w14:textId="77777777" w:rsidR="002D0AE0" w:rsidRPr="002D0AE0" w:rsidRDefault="002D0AE0" w:rsidP="002D0AE0"/>
    <w:p w14:paraId="0FED1EF3" w14:textId="390791CD" w:rsidR="00627B80" w:rsidRPr="00627B80" w:rsidRDefault="00627B80" w:rsidP="00627B80">
      <w:r>
        <w:t>In</w:t>
      </w:r>
      <w:r w:rsidRPr="00627B80">
        <w:t xml:space="preserve"> clinical research, scientific documentation or medical information </w:t>
      </w:r>
      <w:r>
        <w:t xml:space="preserve">very often sensitive data such as e. g. scans, diagnoses, patient data etc. must be exchanged between pharmaceutical companies and </w:t>
      </w:r>
      <w:r w:rsidR="00B80EF9">
        <w:t xml:space="preserve">their </w:t>
      </w:r>
      <w:r>
        <w:t xml:space="preserve">partners. </w:t>
      </w:r>
      <w:r w:rsidR="007F19D6">
        <w:t xml:space="preserve">Conventional tools as </w:t>
      </w:r>
      <w:r w:rsidR="00ED710B">
        <w:t xml:space="preserve">email, </w:t>
      </w:r>
      <w:r w:rsidR="007F19D6">
        <w:t>ftp services, download links</w:t>
      </w:r>
      <w:r w:rsidR="00B80EF9">
        <w:t xml:space="preserve"> or</w:t>
      </w:r>
      <w:r w:rsidR="00241D36">
        <w:t xml:space="preserve"> usb drives</w:t>
      </w:r>
      <w:r w:rsidR="007F19D6">
        <w:t xml:space="preserve"> do not fulfi</w:t>
      </w:r>
      <w:r w:rsidR="00ED710B">
        <w:t>l</w:t>
      </w:r>
      <w:r w:rsidR="007F19D6">
        <w:t xml:space="preserve">l the high regulations </w:t>
      </w:r>
      <w:r w:rsidR="00A10D12">
        <w:t xml:space="preserve">of pharmaceutics </w:t>
      </w:r>
      <w:r w:rsidR="007F19D6">
        <w:t xml:space="preserve">in terms of data protection, security and compliance. </w:t>
      </w:r>
      <w:r w:rsidR="008368E6">
        <w:t>Additional</w:t>
      </w:r>
      <w:r w:rsidR="00074D3D">
        <w:t>l</w:t>
      </w:r>
      <w:r w:rsidR="008368E6">
        <w:t>y t</w:t>
      </w:r>
      <w:r w:rsidR="00C01013">
        <w:t xml:space="preserve">here is a rising demand to increase productivity and reduce costs. This </w:t>
      </w:r>
      <w:r w:rsidR="001D5028">
        <w:t>trend</w:t>
      </w:r>
      <w:r w:rsidR="00074D3D">
        <w:t>s</w:t>
      </w:r>
      <w:r w:rsidR="001D5028">
        <w:t xml:space="preserve"> </w:t>
      </w:r>
      <w:r w:rsidR="00074D3D">
        <w:t>cause</w:t>
      </w:r>
      <w:r w:rsidR="00C01013">
        <w:t xml:space="preserve"> the need for </w:t>
      </w:r>
      <w:r w:rsidR="002D013B">
        <w:t xml:space="preserve">common </w:t>
      </w:r>
      <w:r w:rsidR="00C01013">
        <w:t xml:space="preserve">mobile content editing in real-time between </w:t>
      </w:r>
      <w:r w:rsidR="0078527B">
        <w:t>researchers,</w:t>
      </w:r>
      <w:r w:rsidR="0078527B" w:rsidRPr="0078527B">
        <w:t xml:space="preserve"> </w:t>
      </w:r>
      <w:r w:rsidR="0078527B">
        <w:t xml:space="preserve">healthcare professionals, patients </w:t>
      </w:r>
      <w:r w:rsidR="00FC554C">
        <w:t>and other business partners.</w:t>
      </w:r>
    </w:p>
    <w:p w14:paraId="5A8F26D1" w14:textId="6C3EF405" w:rsidR="00421795" w:rsidRDefault="00E833F0" w:rsidP="00421795">
      <w:r>
        <w:t xml:space="preserve">The Fabasoft Cloud </w:t>
      </w:r>
      <w:r w:rsidR="00D1167E">
        <w:t xml:space="preserve">satisfies these needs by </w:t>
      </w:r>
      <w:r w:rsidR="00074D3D">
        <w:t>a comprehensive set of functions, which are part of the standard editions and validated accordining to EU GMP Annex 11. Furthermore the cloud solution can easily, quickly and individually be modelled according to the needs of the customer.</w:t>
      </w:r>
      <w:r w:rsidR="00EB2CA9">
        <w:t xml:space="preserve"> Within the Fabasoft Cloud pharmaceutic companies </w:t>
      </w:r>
      <w:r w:rsidR="00A10544">
        <w:t xml:space="preserve">can securely </w:t>
      </w:r>
      <w:r w:rsidR="00EB2CA9">
        <w:t xml:space="preserve">synchronise, share and </w:t>
      </w:r>
      <w:r w:rsidR="00D1167E">
        <w:t>edit</w:t>
      </w:r>
      <w:r w:rsidR="00EB2CA9">
        <w:t xml:space="preserve"> </w:t>
      </w:r>
      <w:r w:rsidR="00D1167E">
        <w:t>documents between all users of a project, and</w:t>
      </w:r>
      <w:r w:rsidR="00A10544">
        <w:t xml:space="preserve"> </w:t>
      </w:r>
      <w:r w:rsidR="00CB3C1E">
        <w:t xml:space="preserve">can easily design and manage </w:t>
      </w:r>
      <w:r w:rsidR="00D1167E">
        <w:t>w</w:t>
      </w:r>
      <w:r w:rsidR="00A10544">
        <w:t>orkflows as e. g. the approval of results of a clinical study.</w:t>
      </w:r>
      <w:r w:rsidR="00D1167E">
        <w:t xml:space="preserve"> </w:t>
      </w:r>
      <w:r w:rsidR="00B80EF9">
        <w:t xml:space="preserve">All data handling is fully controlled via full audit-proof archiving. </w:t>
      </w:r>
      <w:r w:rsidR="00421795">
        <w:t>The quality management system, the IT se</w:t>
      </w:r>
      <w:r w:rsidR="00277113">
        <w:t>rvice management system and IT s</w:t>
      </w:r>
      <w:r w:rsidR="00421795">
        <w:t>ecurity management of the Fabasoft Cloud is capable to provide products and services that are able to satisfy the requirements of customers in the GxP regulated industries, which has been audited in August 2016. This applies equally to the processes during development of the software and to the processes of supplying the software in a private cloud as SaaS.</w:t>
      </w:r>
    </w:p>
    <w:p w14:paraId="62388EF2" w14:textId="77777777" w:rsidR="00E32836" w:rsidRDefault="00E32836" w:rsidP="00E32836"/>
    <w:p w14:paraId="2ED0C12B" w14:textId="61F25E9A" w:rsidR="00E32836" w:rsidRDefault="00815D83" w:rsidP="00E32836">
      <w:pPr>
        <w:pStyle w:val="berschrift1"/>
      </w:pPr>
      <w:bookmarkStart w:id="2" w:name="_Toc462923014"/>
      <w:r>
        <w:t>Terms and C</w:t>
      </w:r>
      <w:r w:rsidR="00E32836">
        <w:t>onditions</w:t>
      </w:r>
      <w:bookmarkEnd w:id="2"/>
      <w:r w:rsidR="00E32836">
        <w:t xml:space="preserve"> </w:t>
      </w:r>
      <w:r w:rsidR="00E32836">
        <w:br/>
      </w:r>
    </w:p>
    <w:p w14:paraId="29A236D7" w14:textId="7BA1F720" w:rsidR="00E32836" w:rsidRDefault="00E32836" w:rsidP="00E32836">
      <w:r>
        <w:t>In this document the following terms and definitions are used: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auto"/>
        <w:tblLayout w:type="fixed"/>
        <w:tblLook w:val="04A0" w:firstRow="1" w:lastRow="0" w:firstColumn="1" w:lastColumn="0" w:noHBand="0" w:noVBand="1"/>
      </w:tblPr>
      <w:tblGrid>
        <w:gridCol w:w="2802"/>
        <w:gridCol w:w="6315"/>
      </w:tblGrid>
      <w:tr w:rsidR="00E32836" w:rsidRPr="004F5013" w14:paraId="4642E2EF" w14:textId="77777777" w:rsidTr="007A0541">
        <w:trPr>
          <w:tblHeader/>
        </w:trPr>
        <w:tc>
          <w:tcPr>
            <w:tcW w:w="2802" w:type="dxa"/>
            <w:tcBorders>
              <w:bottom w:val="single" w:sz="4" w:space="0" w:color="000000"/>
            </w:tcBorders>
            <w:shd w:val="clear" w:color="auto" w:fill="1F497D"/>
            <w:vAlign w:val="center"/>
          </w:tcPr>
          <w:p w14:paraId="4F1E9AAA" w14:textId="77777777" w:rsidR="00E32836" w:rsidRPr="00BF5577" w:rsidRDefault="00E32836" w:rsidP="008550E9">
            <w:pPr>
              <w:spacing w:line="360" w:lineRule="auto"/>
              <w:rPr>
                <w:b/>
                <w:color w:val="FFFFFF" w:themeColor="background1"/>
              </w:rPr>
            </w:pPr>
            <w:r w:rsidRPr="00BF5577">
              <w:rPr>
                <w:b/>
                <w:color w:val="FFFFFF" w:themeColor="background1"/>
              </w:rPr>
              <w:t>Term</w:t>
            </w:r>
          </w:p>
        </w:tc>
        <w:tc>
          <w:tcPr>
            <w:tcW w:w="6315" w:type="dxa"/>
            <w:tcBorders>
              <w:bottom w:val="single" w:sz="4" w:space="0" w:color="000000"/>
            </w:tcBorders>
            <w:shd w:val="clear" w:color="auto" w:fill="1F497D"/>
            <w:vAlign w:val="center"/>
          </w:tcPr>
          <w:p w14:paraId="64204D50" w14:textId="77777777" w:rsidR="00E32836" w:rsidRPr="00BF5577" w:rsidRDefault="00E32836" w:rsidP="008550E9">
            <w:pPr>
              <w:spacing w:line="360" w:lineRule="auto"/>
              <w:rPr>
                <w:b/>
                <w:color w:val="FFFFFF" w:themeColor="background1"/>
              </w:rPr>
            </w:pPr>
            <w:r w:rsidRPr="00BF5577">
              <w:rPr>
                <w:b/>
                <w:color w:val="FFFFFF" w:themeColor="background1"/>
              </w:rPr>
              <w:t>Definition</w:t>
            </w:r>
          </w:p>
        </w:tc>
      </w:tr>
      <w:tr w:rsidR="00E32836" w:rsidRPr="0015418D" w14:paraId="3F874D11" w14:textId="77777777" w:rsidTr="007A0541">
        <w:trPr>
          <w:tblHeader/>
        </w:trPr>
        <w:tc>
          <w:tcPr>
            <w:tcW w:w="2802" w:type="dxa"/>
            <w:shd w:val="clear" w:color="auto" w:fill="FFFFFF" w:themeFill="background1"/>
          </w:tcPr>
          <w:p w14:paraId="455C7419" w14:textId="77777777" w:rsidR="00E32836" w:rsidRPr="00BF5577" w:rsidRDefault="00E32836" w:rsidP="008550E9">
            <w:pPr>
              <w:rPr>
                <w:b/>
                <w:lang w:val="en-US"/>
              </w:rPr>
            </w:pPr>
            <w:r w:rsidRPr="00BF5577">
              <w:rPr>
                <w:b/>
                <w:lang w:val="en-US"/>
              </w:rPr>
              <w:t>GxP</w:t>
            </w:r>
          </w:p>
        </w:tc>
        <w:tc>
          <w:tcPr>
            <w:tcW w:w="6315" w:type="dxa"/>
            <w:shd w:val="clear" w:color="auto" w:fill="FFFFFF" w:themeFill="background1"/>
          </w:tcPr>
          <w:p w14:paraId="06DEAD0A" w14:textId="77777777" w:rsidR="00E32836" w:rsidRPr="005D3D5F" w:rsidRDefault="00E32836" w:rsidP="008550E9">
            <w:pPr>
              <w:rPr>
                <w:lang w:val="en-US"/>
              </w:rPr>
            </w:pPr>
            <w:r w:rsidRPr="005D3D5F">
              <w:rPr>
                <w:lang w:val="en-US"/>
              </w:rPr>
              <w:t>Good (anything) practice quality guidelines and regulations</w:t>
            </w:r>
          </w:p>
          <w:p w14:paraId="27A116D3" w14:textId="77777777" w:rsidR="00E32836" w:rsidRPr="005D3D5F" w:rsidRDefault="00E32836" w:rsidP="008550E9">
            <w:pPr>
              <w:rPr>
                <w:lang w:val="en-US"/>
              </w:rPr>
            </w:pPr>
            <w:r w:rsidRPr="005D3D5F">
              <w:rPr>
                <w:lang w:val="en-US"/>
              </w:rPr>
              <w:t>M = Manufacturing</w:t>
            </w:r>
          </w:p>
          <w:p w14:paraId="69F56D59" w14:textId="77777777" w:rsidR="00E32836" w:rsidRPr="005D3D5F" w:rsidRDefault="00E32836" w:rsidP="008550E9">
            <w:pPr>
              <w:rPr>
                <w:lang w:val="en-US"/>
              </w:rPr>
            </w:pPr>
            <w:r w:rsidRPr="005D3D5F">
              <w:rPr>
                <w:lang w:val="en-US"/>
              </w:rPr>
              <w:t>Manufacturing of pharmaceutical products or medical devices (but can also be applied to food)</w:t>
            </w:r>
          </w:p>
          <w:p w14:paraId="0770E13A" w14:textId="77777777" w:rsidR="00E32836" w:rsidRPr="005D3D5F" w:rsidRDefault="00E32836" w:rsidP="008550E9">
            <w:pPr>
              <w:rPr>
                <w:lang w:val="en-US"/>
              </w:rPr>
            </w:pPr>
            <w:r w:rsidRPr="005D3D5F">
              <w:rPr>
                <w:lang w:val="en-US"/>
              </w:rPr>
              <w:t>C = Clinical</w:t>
            </w:r>
          </w:p>
          <w:p w14:paraId="107D2525" w14:textId="40703C6D" w:rsidR="00E32836" w:rsidRPr="005D3D5F" w:rsidRDefault="00E32836" w:rsidP="008550E9">
            <w:pPr>
              <w:rPr>
                <w:lang w:val="en-US"/>
              </w:rPr>
            </w:pPr>
            <w:r w:rsidRPr="005D3D5F">
              <w:rPr>
                <w:lang w:val="en-US"/>
              </w:rPr>
              <w:t>Execution of clinical studies e.</w:t>
            </w:r>
            <w:r w:rsidR="00E879B4">
              <w:rPr>
                <w:lang w:val="en-US"/>
              </w:rPr>
              <w:t xml:space="preserve"> </w:t>
            </w:r>
            <w:r w:rsidRPr="005D3D5F">
              <w:rPr>
                <w:lang w:val="en-US"/>
              </w:rPr>
              <w:t>g. for pharmaceuticals</w:t>
            </w:r>
          </w:p>
          <w:p w14:paraId="2C06C353" w14:textId="77777777" w:rsidR="00E32836" w:rsidRPr="005D3D5F" w:rsidRDefault="00E32836" w:rsidP="008550E9">
            <w:pPr>
              <w:rPr>
                <w:lang w:val="en-US"/>
              </w:rPr>
            </w:pPr>
            <w:r w:rsidRPr="005D3D5F">
              <w:rPr>
                <w:lang w:val="en-US"/>
              </w:rPr>
              <w:t>L = Laboratory</w:t>
            </w:r>
          </w:p>
          <w:p w14:paraId="1A801A8D" w14:textId="77777777" w:rsidR="00E32836" w:rsidRPr="005D3D5F" w:rsidRDefault="00E32836" w:rsidP="008550E9">
            <w:pPr>
              <w:rPr>
                <w:lang w:val="en-US"/>
              </w:rPr>
            </w:pPr>
            <w:r w:rsidRPr="005D3D5F">
              <w:rPr>
                <w:lang w:val="en-US"/>
              </w:rPr>
              <w:t>Operation of laboratories</w:t>
            </w:r>
          </w:p>
        </w:tc>
      </w:tr>
      <w:tr w:rsidR="00E32836" w:rsidRPr="0015418D" w14:paraId="167E8E47" w14:textId="77777777" w:rsidTr="007A0541">
        <w:trPr>
          <w:tblHeader/>
        </w:trPr>
        <w:tc>
          <w:tcPr>
            <w:tcW w:w="2802" w:type="dxa"/>
            <w:shd w:val="clear" w:color="auto" w:fill="FFFFFF" w:themeFill="background1"/>
          </w:tcPr>
          <w:p w14:paraId="44A467B5" w14:textId="77777777" w:rsidR="00E32836" w:rsidRPr="00BF5577" w:rsidRDefault="00E32836" w:rsidP="008550E9">
            <w:pPr>
              <w:rPr>
                <w:b/>
                <w:lang w:val="en-US"/>
              </w:rPr>
            </w:pPr>
            <w:r w:rsidRPr="00BF5577">
              <w:rPr>
                <w:b/>
                <w:lang w:val="en-US"/>
              </w:rPr>
              <w:lastRenderedPageBreak/>
              <w:t>CFR</w:t>
            </w:r>
          </w:p>
        </w:tc>
        <w:tc>
          <w:tcPr>
            <w:tcW w:w="6315" w:type="dxa"/>
            <w:shd w:val="clear" w:color="auto" w:fill="FFFFFF" w:themeFill="background1"/>
          </w:tcPr>
          <w:p w14:paraId="722B5F1F" w14:textId="77777777" w:rsidR="00E32836" w:rsidRPr="005D3D5F" w:rsidRDefault="00E32836" w:rsidP="008550E9">
            <w:pPr>
              <w:rPr>
                <w:lang w:val="en-US"/>
              </w:rPr>
            </w:pPr>
            <w:r w:rsidRPr="005D3D5F">
              <w:rPr>
                <w:lang w:val="en-US"/>
              </w:rPr>
              <w:t>Code of Federal Regulations</w:t>
            </w:r>
          </w:p>
          <w:p w14:paraId="04ED1656" w14:textId="7FA465CF" w:rsidR="00E32836" w:rsidRPr="005D3D5F" w:rsidRDefault="00E32836" w:rsidP="008550E9">
            <w:pPr>
              <w:rPr>
                <w:lang w:val="en-US"/>
              </w:rPr>
            </w:pPr>
            <w:r w:rsidRPr="005D3D5F">
              <w:rPr>
                <w:lang w:val="en-US"/>
              </w:rPr>
              <w:t>Codification of the general and permanent ru</w:t>
            </w:r>
            <w:r w:rsidR="00E879B4">
              <w:rPr>
                <w:lang w:val="en-US"/>
              </w:rPr>
              <w:t>les and regulations published by</w:t>
            </w:r>
            <w:r w:rsidRPr="005D3D5F">
              <w:rPr>
                <w:lang w:val="en-US"/>
              </w:rPr>
              <w:t xml:space="preserve"> executive departments and agencies of the federal government of the USA</w:t>
            </w:r>
          </w:p>
        </w:tc>
      </w:tr>
      <w:tr w:rsidR="00E32836" w:rsidRPr="0015418D" w14:paraId="42DAF1C2" w14:textId="77777777" w:rsidTr="007A0541">
        <w:trPr>
          <w:tblHeader/>
        </w:trPr>
        <w:tc>
          <w:tcPr>
            <w:tcW w:w="2802" w:type="dxa"/>
            <w:shd w:val="clear" w:color="auto" w:fill="FFFFFF" w:themeFill="background1"/>
          </w:tcPr>
          <w:p w14:paraId="1024F3A4" w14:textId="77777777" w:rsidR="00E32836" w:rsidRPr="00BF5577" w:rsidRDefault="00E32836" w:rsidP="008550E9">
            <w:pPr>
              <w:rPr>
                <w:b/>
                <w:lang w:val="en-US"/>
              </w:rPr>
            </w:pPr>
            <w:r w:rsidRPr="00BF5577">
              <w:rPr>
                <w:b/>
                <w:lang w:val="en-US"/>
              </w:rPr>
              <w:t>EU-GMP</w:t>
            </w:r>
          </w:p>
        </w:tc>
        <w:tc>
          <w:tcPr>
            <w:tcW w:w="6315" w:type="dxa"/>
            <w:shd w:val="clear" w:color="auto" w:fill="FFFFFF" w:themeFill="background1"/>
          </w:tcPr>
          <w:p w14:paraId="74A396BE" w14:textId="77777777" w:rsidR="00E32836" w:rsidRPr="005D3D5F" w:rsidRDefault="00E32836" w:rsidP="008550E9">
            <w:pPr>
              <w:rPr>
                <w:lang w:val="en-US"/>
              </w:rPr>
            </w:pPr>
            <w:r w:rsidRPr="005D3D5F">
              <w:rPr>
                <w:lang w:val="en-US"/>
              </w:rPr>
              <w:t>Defines the GMP rules for the pharmaceutical industry in the European Union</w:t>
            </w:r>
          </w:p>
        </w:tc>
      </w:tr>
      <w:tr w:rsidR="00E32836" w:rsidRPr="0015418D" w14:paraId="658BB184" w14:textId="77777777" w:rsidTr="007A0541">
        <w:trPr>
          <w:tblHeader/>
        </w:trPr>
        <w:tc>
          <w:tcPr>
            <w:tcW w:w="2802" w:type="dxa"/>
            <w:shd w:val="clear" w:color="auto" w:fill="FFFFFF" w:themeFill="background1"/>
          </w:tcPr>
          <w:p w14:paraId="64796755" w14:textId="77777777" w:rsidR="00E32836" w:rsidRPr="00BF5577" w:rsidRDefault="00E32836" w:rsidP="008550E9">
            <w:pPr>
              <w:rPr>
                <w:b/>
                <w:lang w:val="en-US"/>
              </w:rPr>
            </w:pPr>
            <w:r w:rsidRPr="00BF5577">
              <w:rPr>
                <w:b/>
                <w:lang w:val="en-US"/>
              </w:rPr>
              <w:t>SaaS</w:t>
            </w:r>
          </w:p>
        </w:tc>
        <w:tc>
          <w:tcPr>
            <w:tcW w:w="6315" w:type="dxa"/>
            <w:shd w:val="clear" w:color="auto" w:fill="FFFFFF" w:themeFill="background1"/>
          </w:tcPr>
          <w:p w14:paraId="207E0923" w14:textId="77777777" w:rsidR="00E32836" w:rsidRPr="005D3D5F" w:rsidRDefault="00E32836" w:rsidP="008550E9">
            <w:pPr>
              <w:rPr>
                <w:lang w:val="en-US"/>
              </w:rPr>
            </w:pPr>
            <w:r w:rsidRPr="005D3D5F">
              <w:rPr>
                <w:lang w:val="en-US"/>
              </w:rPr>
              <w:t>Software as a Service</w:t>
            </w:r>
          </w:p>
          <w:p w14:paraId="1E3154B7" w14:textId="77777777" w:rsidR="00E32836" w:rsidRPr="005D3D5F" w:rsidRDefault="00E32836" w:rsidP="008550E9">
            <w:pPr>
              <w:rPr>
                <w:lang w:val="en-US"/>
              </w:rPr>
            </w:pPr>
            <w:r w:rsidRPr="005D3D5F">
              <w:rPr>
                <w:lang w:val="en-US"/>
              </w:rPr>
              <w:t>Software licensing and delivery model in which software is licensed on a subscription basis and is centrally hosted (cloud).</w:t>
            </w:r>
          </w:p>
        </w:tc>
      </w:tr>
      <w:tr w:rsidR="007A0541" w:rsidRPr="0015418D" w14:paraId="49FF5AF2" w14:textId="77777777" w:rsidTr="007A0541">
        <w:trPr>
          <w:tblHeader/>
        </w:trPr>
        <w:tc>
          <w:tcPr>
            <w:tcW w:w="2802" w:type="dxa"/>
            <w:shd w:val="clear" w:color="auto" w:fill="FFFFFF" w:themeFill="background1"/>
          </w:tcPr>
          <w:p w14:paraId="7232910B" w14:textId="6450D8D1" w:rsidR="007A0541" w:rsidRPr="00BF5577" w:rsidRDefault="007A0541" w:rsidP="008550E9">
            <w:pPr>
              <w:rPr>
                <w:b/>
                <w:lang w:val="en-US"/>
              </w:rPr>
            </w:pPr>
            <w:r>
              <w:rPr>
                <w:b/>
                <w:lang w:val="en-US"/>
              </w:rPr>
              <w:t>IaaS</w:t>
            </w:r>
          </w:p>
        </w:tc>
        <w:tc>
          <w:tcPr>
            <w:tcW w:w="6315" w:type="dxa"/>
            <w:shd w:val="clear" w:color="auto" w:fill="FFFFFF" w:themeFill="background1"/>
          </w:tcPr>
          <w:p w14:paraId="27F0352E" w14:textId="77777777" w:rsidR="007A0541" w:rsidRDefault="007A0541" w:rsidP="008550E9">
            <w:pPr>
              <w:rPr>
                <w:lang w:val="en-US"/>
              </w:rPr>
            </w:pPr>
            <w:r>
              <w:rPr>
                <w:lang w:val="en-US"/>
              </w:rPr>
              <w:t>Infrastructure as a Service</w:t>
            </w:r>
          </w:p>
          <w:p w14:paraId="18F3548D" w14:textId="27093DBB" w:rsidR="007A0541" w:rsidRPr="005D3D5F" w:rsidRDefault="007A0541" w:rsidP="007A0541">
            <w:pPr>
              <w:rPr>
                <w:lang w:val="en-US"/>
              </w:rPr>
            </w:pPr>
            <w:r>
              <w:rPr>
                <w:lang w:val="en-US"/>
              </w:rPr>
              <w:t>P</w:t>
            </w:r>
            <w:r w:rsidRPr="007A0541">
              <w:rPr>
                <w:lang w:val="en-US"/>
              </w:rPr>
              <w:t xml:space="preserve">roviders supply resources </w:t>
            </w:r>
            <w:r>
              <w:rPr>
                <w:lang w:val="en-US"/>
              </w:rPr>
              <w:t xml:space="preserve">like physical computing resources, location, data partitioning, scaling, security, backup etc. </w:t>
            </w:r>
            <w:r w:rsidRPr="007A0541">
              <w:rPr>
                <w:lang w:val="en-US"/>
              </w:rPr>
              <w:t>on-demand from their large pools of equipment installed in data centers.</w:t>
            </w:r>
          </w:p>
        </w:tc>
      </w:tr>
      <w:tr w:rsidR="005C2950" w:rsidRPr="0015418D" w14:paraId="4A5B512D" w14:textId="77777777" w:rsidTr="007A0541">
        <w:trPr>
          <w:tblHeader/>
        </w:trPr>
        <w:tc>
          <w:tcPr>
            <w:tcW w:w="2802" w:type="dxa"/>
            <w:shd w:val="clear" w:color="auto" w:fill="FFFFFF" w:themeFill="background1"/>
          </w:tcPr>
          <w:p w14:paraId="1B5129B2" w14:textId="2C45F800" w:rsidR="005C2950" w:rsidRPr="00BF5577" w:rsidRDefault="005C2950" w:rsidP="008550E9">
            <w:pPr>
              <w:rPr>
                <w:b/>
                <w:lang w:val="en-US"/>
              </w:rPr>
            </w:pPr>
            <w:r>
              <w:rPr>
                <w:b/>
                <w:lang w:val="en-US"/>
              </w:rPr>
              <w:t>PaaS</w:t>
            </w:r>
          </w:p>
        </w:tc>
        <w:tc>
          <w:tcPr>
            <w:tcW w:w="6315" w:type="dxa"/>
            <w:shd w:val="clear" w:color="auto" w:fill="FFFFFF" w:themeFill="background1"/>
          </w:tcPr>
          <w:p w14:paraId="1347EAE0" w14:textId="77777777" w:rsidR="005C2950" w:rsidRDefault="005C2950" w:rsidP="008550E9">
            <w:pPr>
              <w:rPr>
                <w:lang w:val="en-US"/>
              </w:rPr>
            </w:pPr>
            <w:r>
              <w:rPr>
                <w:lang w:val="en-US"/>
              </w:rPr>
              <w:t>Platform as a Service</w:t>
            </w:r>
          </w:p>
          <w:p w14:paraId="13B964C3" w14:textId="724EB840" w:rsidR="005C2950" w:rsidRPr="005D3D5F" w:rsidRDefault="00D333BA" w:rsidP="008550E9">
            <w:pPr>
              <w:rPr>
                <w:lang w:val="en-US"/>
              </w:rPr>
            </w:pPr>
            <w:r>
              <w:rPr>
                <w:lang w:val="en-US"/>
              </w:rPr>
              <w:t>Providers usually</w:t>
            </w:r>
            <w:r w:rsidRPr="00D333BA">
              <w:rPr>
                <w:lang w:val="en-US"/>
              </w:rPr>
              <w:t xml:space="preserve"> deliver a computing platform, typically including operating system, programming-language </w:t>
            </w:r>
            <w:r w:rsidR="00E879B4">
              <w:rPr>
                <w:lang w:val="en-US"/>
              </w:rPr>
              <w:t>execution environment, database</w:t>
            </w:r>
            <w:r w:rsidRPr="00D333BA">
              <w:rPr>
                <w:lang w:val="en-US"/>
              </w:rPr>
              <w:t xml:space="preserve"> and web server.</w:t>
            </w:r>
          </w:p>
        </w:tc>
      </w:tr>
      <w:tr w:rsidR="00E32836" w:rsidRPr="0015418D" w14:paraId="5DE28C16" w14:textId="77777777" w:rsidTr="007A0541">
        <w:trPr>
          <w:tblHeader/>
        </w:trPr>
        <w:tc>
          <w:tcPr>
            <w:tcW w:w="2802" w:type="dxa"/>
            <w:shd w:val="clear" w:color="auto" w:fill="FFFFFF" w:themeFill="background1"/>
          </w:tcPr>
          <w:p w14:paraId="3B260845" w14:textId="490A42CE" w:rsidR="00E32836" w:rsidRPr="00BF5577" w:rsidRDefault="00E32836" w:rsidP="008550E9">
            <w:pPr>
              <w:rPr>
                <w:b/>
                <w:lang w:val="en-US"/>
              </w:rPr>
            </w:pPr>
            <w:r w:rsidRPr="00BF5577">
              <w:rPr>
                <w:b/>
                <w:lang w:val="en-US"/>
              </w:rPr>
              <w:t>ITIL</w:t>
            </w:r>
          </w:p>
        </w:tc>
        <w:tc>
          <w:tcPr>
            <w:tcW w:w="6315" w:type="dxa"/>
            <w:shd w:val="clear" w:color="auto" w:fill="FFFFFF" w:themeFill="background1"/>
          </w:tcPr>
          <w:p w14:paraId="3D180773" w14:textId="77777777" w:rsidR="00E32836" w:rsidRPr="005D3D5F" w:rsidRDefault="00E32836" w:rsidP="008550E9">
            <w:pPr>
              <w:rPr>
                <w:lang w:val="en-US"/>
              </w:rPr>
            </w:pPr>
            <w:r w:rsidRPr="005D3D5F">
              <w:rPr>
                <w:lang w:val="en-US"/>
              </w:rPr>
              <w:t>Office Government Commerce’s IT Infrastructure Library</w:t>
            </w:r>
          </w:p>
        </w:tc>
      </w:tr>
    </w:tbl>
    <w:p w14:paraId="3FFE3590" w14:textId="77777777" w:rsidR="00F50234" w:rsidRDefault="00F50234" w:rsidP="005A39D9"/>
    <w:p w14:paraId="3F5A1FDF" w14:textId="77777777" w:rsidR="007B60F0" w:rsidRPr="005A39D9" w:rsidRDefault="007B60F0" w:rsidP="005A39D9"/>
    <w:p w14:paraId="5819EB31" w14:textId="134B6D1C" w:rsidR="007609D8" w:rsidRDefault="00815D83" w:rsidP="007609D8">
      <w:pPr>
        <w:pStyle w:val="berschrift1"/>
      </w:pPr>
      <w:bookmarkStart w:id="3" w:name="_Toc462923015"/>
      <w:r>
        <w:t>Requirements for Pharmaceutical I</w:t>
      </w:r>
      <w:r w:rsidR="007609D8">
        <w:t>ndustries</w:t>
      </w:r>
      <w:bookmarkEnd w:id="3"/>
    </w:p>
    <w:p w14:paraId="756096EE" w14:textId="77777777" w:rsidR="007609D8" w:rsidRDefault="007609D8" w:rsidP="007609D8"/>
    <w:p w14:paraId="3E5D3E3C" w14:textId="6903BCF2" w:rsidR="00763829" w:rsidRDefault="00FE3A8E" w:rsidP="007609D8">
      <w:r>
        <w:t>Using electronic media</w:t>
      </w:r>
      <w:r w:rsidR="00C033B3">
        <w:t xml:space="preserve"> for document management as well as workflow management (including digital signatures), the risk for not documented actions by non-authorised persons is higher than working with paper and </w:t>
      </w:r>
      <w:r w:rsidR="00F50234">
        <w:t>handwritten</w:t>
      </w:r>
      <w:r w:rsidR="00C033B3">
        <w:t xml:space="preserve"> signatures. </w:t>
      </w:r>
      <w:r w:rsidR="00763829">
        <w:t>Therefore necessary regulations for electronic tools used in pharmaceutical industry for the above described purposes are defined by the European Commission via EU Annex 11 to the good manufacturing practice guidelines and by the U.S. Food and Drug Administration in the code of federal regulations, title 21, part 11.</w:t>
      </w:r>
    </w:p>
    <w:p w14:paraId="1659B5D3" w14:textId="77777777" w:rsidR="00F50234" w:rsidRDefault="00F50234" w:rsidP="007609D8"/>
    <w:p w14:paraId="57D40CA0" w14:textId="4E7F24BD" w:rsidR="00F50234" w:rsidRDefault="00AE0610" w:rsidP="007609D8">
      <w:r>
        <w:t>The main requirements covered by both guidelines are:</w:t>
      </w:r>
    </w:p>
    <w:p w14:paraId="3404C103" w14:textId="77777777" w:rsidR="00742C0E" w:rsidRDefault="00763829" w:rsidP="007609D8">
      <w:r>
        <w:t xml:space="preserve"> </w:t>
      </w:r>
    </w:p>
    <w:p w14:paraId="7F859256" w14:textId="77777777" w:rsidR="007B60F0" w:rsidRPr="002D0AE0" w:rsidRDefault="007B60F0" w:rsidP="007609D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auto"/>
        <w:tblLayout w:type="fixed"/>
        <w:tblLook w:val="04A0" w:firstRow="1" w:lastRow="0" w:firstColumn="1" w:lastColumn="0" w:noHBand="0" w:noVBand="1"/>
      </w:tblPr>
      <w:tblGrid>
        <w:gridCol w:w="2802"/>
        <w:gridCol w:w="6315"/>
      </w:tblGrid>
      <w:tr w:rsidR="00742C0E" w:rsidRPr="00BF5577" w14:paraId="4C6F3CB9" w14:textId="77777777" w:rsidTr="008550E9">
        <w:trPr>
          <w:tblHeader/>
        </w:trPr>
        <w:tc>
          <w:tcPr>
            <w:tcW w:w="2853" w:type="dxa"/>
            <w:tcBorders>
              <w:bottom w:val="single" w:sz="4" w:space="0" w:color="000000"/>
            </w:tcBorders>
            <w:shd w:val="clear" w:color="auto" w:fill="1F497D"/>
            <w:vAlign w:val="center"/>
          </w:tcPr>
          <w:p w14:paraId="356D6476" w14:textId="0C7BABDE" w:rsidR="00742C0E" w:rsidRPr="00BF5577" w:rsidRDefault="00742C0E" w:rsidP="008550E9">
            <w:pPr>
              <w:spacing w:line="360" w:lineRule="auto"/>
              <w:rPr>
                <w:b/>
                <w:color w:val="FFFFFF" w:themeColor="background1"/>
              </w:rPr>
            </w:pPr>
            <w:r>
              <w:rPr>
                <w:b/>
                <w:color w:val="FFFFFF" w:themeColor="background1"/>
              </w:rPr>
              <w:lastRenderedPageBreak/>
              <w:t>Requirement</w:t>
            </w:r>
          </w:p>
        </w:tc>
        <w:tc>
          <w:tcPr>
            <w:tcW w:w="6435" w:type="dxa"/>
            <w:tcBorders>
              <w:bottom w:val="single" w:sz="4" w:space="0" w:color="000000"/>
            </w:tcBorders>
            <w:shd w:val="clear" w:color="auto" w:fill="1F497D"/>
            <w:vAlign w:val="center"/>
          </w:tcPr>
          <w:p w14:paraId="40B3CA93" w14:textId="7BBC4601" w:rsidR="00742C0E" w:rsidRPr="00BF5577" w:rsidRDefault="00742C0E" w:rsidP="008550E9">
            <w:pPr>
              <w:spacing w:line="360" w:lineRule="auto"/>
              <w:rPr>
                <w:b/>
                <w:color w:val="FFFFFF" w:themeColor="background1"/>
              </w:rPr>
            </w:pPr>
            <w:r>
              <w:rPr>
                <w:b/>
                <w:color w:val="FFFFFF" w:themeColor="background1"/>
              </w:rPr>
              <w:t>Description</w:t>
            </w:r>
          </w:p>
        </w:tc>
      </w:tr>
      <w:tr w:rsidR="00742C0E" w:rsidRPr="005D3D5F" w14:paraId="614EF536" w14:textId="77777777" w:rsidTr="008550E9">
        <w:trPr>
          <w:tblHeader/>
        </w:trPr>
        <w:tc>
          <w:tcPr>
            <w:tcW w:w="2853" w:type="dxa"/>
            <w:shd w:val="clear" w:color="auto" w:fill="FFFFFF" w:themeFill="background1"/>
          </w:tcPr>
          <w:p w14:paraId="62795E72" w14:textId="6C2D21B1" w:rsidR="00742C0E" w:rsidRPr="00BF5577" w:rsidRDefault="00742C0E" w:rsidP="008550E9">
            <w:pPr>
              <w:rPr>
                <w:b/>
                <w:lang w:val="en-US"/>
              </w:rPr>
            </w:pPr>
            <w:r>
              <w:rPr>
                <w:b/>
                <w:lang w:val="en-US"/>
              </w:rPr>
              <w:t>Life cycle and validation of computer</w:t>
            </w:r>
            <w:r w:rsidR="00D972D3">
              <w:rPr>
                <w:b/>
                <w:lang w:val="en-US"/>
              </w:rPr>
              <w:t>ized</w:t>
            </w:r>
            <w:r w:rsidR="00784C83">
              <w:rPr>
                <w:b/>
                <w:lang w:val="en-US"/>
              </w:rPr>
              <w:t xml:space="preserve"> systems</w:t>
            </w:r>
          </w:p>
        </w:tc>
        <w:tc>
          <w:tcPr>
            <w:tcW w:w="6435" w:type="dxa"/>
            <w:shd w:val="clear" w:color="auto" w:fill="FFFFFF" w:themeFill="background1"/>
          </w:tcPr>
          <w:p w14:paraId="760CBA2B" w14:textId="794531A4" w:rsidR="00742C0E" w:rsidRPr="005D3D5F" w:rsidRDefault="008202A2" w:rsidP="00E86F93">
            <w:pPr>
              <w:rPr>
                <w:lang w:val="en-US"/>
              </w:rPr>
            </w:pPr>
            <w:r>
              <w:rPr>
                <w:lang w:val="en-US"/>
              </w:rPr>
              <w:t>Computerized systems, which are used for</w:t>
            </w:r>
            <w:r w:rsidR="00D972D3">
              <w:rPr>
                <w:lang w:val="en-US"/>
              </w:rPr>
              <w:t xml:space="preserve"> GMP-related activities</w:t>
            </w:r>
            <w:r w:rsidR="00D972D3" w:rsidRPr="00D972D3">
              <w:rPr>
                <w:lang w:val="en-US"/>
              </w:rPr>
              <w:t xml:space="preserve">, must be validated. The validation process </w:t>
            </w:r>
            <w:r>
              <w:rPr>
                <w:lang w:val="en-US"/>
              </w:rPr>
              <w:t xml:space="preserve">has to be defined </w:t>
            </w:r>
            <w:r w:rsidR="00D972D3" w:rsidRPr="00D972D3">
              <w:rPr>
                <w:lang w:val="en-US"/>
              </w:rPr>
              <w:t>by means of a</w:t>
            </w:r>
            <w:r w:rsidR="00D972D3">
              <w:rPr>
                <w:lang w:val="en-US"/>
              </w:rPr>
              <w:t xml:space="preserve"> </w:t>
            </w:r>
            <w:r w:rsidR="00D972D3" w:rsidRPr="00D972D3">
              <w:rPr>
                <w:lang w:val="en-US"/>
              </w:rPr>
              <w:t>risk-based approach. It mus</w:t>
            </w:r>
            <w:r w:rsidR="00D972D3">
              <w:rPr>
                <w:lang w:val="en-US"/>
              </w:rPr>
              <w:t xml:space="preserve">t </w:t>
            </w:r>
            <w:r>
              <w:rPr>
                <w:lang w:val="en-US"/>
              </w:rPr>
              <w:t>cover</w:t>
            </w:r>
            <w:r w:rsidR="00D972D3">
              <w:rPr>
                <w:lang w:val="en-US"/>
              </w:rPr>
              <w:t xml:space="preserve"> all relevant steps of </w:t>
            </w:r>
            <w:r>
              <w:rPr>
                <w:lang w:val="en-US"/>
              </w:rPr>
              <w:t>the</w:t>
            </w:r>
            <w:r w:rsidR="00F50234">
              <w:rPr>
                <w:lang w:val="en-US"/>
              </w:rPr>
              <w:t xml:space="preserve"> life-</w:t>
            </w:r>
            <w:r w:rsidR="00D972D3" w:rsidRPr="00D972D3">
              <w:rPr>
                <w:lang w:val="en-US"/>
              </w:rPr>
              <w:t>cycle and include appropriate documentation.</w:t>
            </w:r>
            <w:r w:rsidR="00D972D3">
              <w:rPr>
                <w:lang w:val="en-US"/>
              </w:rPr>
              <w:t xml:space="preserve"> </w:t>
            </w:r>
            <w:r w:rsidR="00D972D3" w:rsidRPr="00D972D3">
              <w:rPr>
                <w:lang w:val="en-US"/>
              </w:rPr>
              <w:t xml:space="preserve">The functionality of the system must be </w:t>
            </w:r>
            <w:r>
              <w:rPr>
                <w:lang w:val="en-US"/>
              </w:rPr>
              <w:t xml:space="preserve">documented </w:t>
            </w:r>
            <w:r w:rsidR="00F50234">
              <w:rPr>
                <w:lang w:val="en-US"/>
              </w:rPr>
              <w:t>fully traceable</w:t>
            </w:r>
            <w:r w:rsidR="00E86F93">
              <w:rPr>
                <w:lang w:val="en-US"/>
              </w:rPr>
              <w:t xml:space="preserve"> </w:t>
            </w:r>
            <w:r>
              <w:rPr>
                <w:lang w:val="en-US"/>
              </w:rPr>
              <w:t>in terms of specifications or a system descri</w:t>
            </w:r>
            <w:r w:rsidR="00992BF9">
              <w:rPr>
                <w:lang w:val="en-US"/>
              </w:rPr>
              <w:t>ption throughout the whole life-</w:t>
            </w:r>
            <w:r>
              <w:rPr>
                <w:lang w:val="en-US"/>
              </w:rPr>
              <w:t>cycle.</w:t>
            </w:r>
            <w:r w:rsidR="00E86F93">
              <w:rPr>
                <w:lang w:val="en-US"/>
              </w:rPr>
              <w:t xml:space="preserve"> </w:t>
            </w:r>
            <w:r w:rsidR="00D972D3" w:rsidRPr="00D972D3">
              <w:rPr>
                <w:lang w:val="en-US"/>
              </w:rPr>
              <w:t>A formal process for change control and a method for</w:t>
            </w:r>
            <w:r w:rsidR="00D972D3">
              <w:rPr>
                <w:lang w:val="en-US"/>
              </w:rPr>
              <w:t xml:space="preserve"> </w:t>
            </w:r>
            <w:r w:rsidR="00E86F93">
              <w:rPr>
                <w:lang w:val="en-US"/>
              </w:rPr>
              <w:t>the m</w:t>
            </w:r>
            <w:r w:rsidR="00D972D3" w:rsidRPr="00D972D3">
              <w:rPr>
                <w:lang w:val="en-US"/>
              </w:rPr>
              <w:t xml:space="preserve">anagement of incidents </w:t>
            </w:r>
            <w:r w:rsidR="00E86F93">
              <w:rPr>
                <w:lang w:val="en-US"/>
              </w:rPr>
              <w:t>have to be</w:t>
            </w:r>
            <w:r w:rsidR="00D972D3" w:rsidRPr="00D972D3">
              <w:rPr>
                <w:lang w:val="en-US"/>
              </w:rPr>
              <w:t xml:space="preserve"> </w:t>
            </w:r>
            <w:r w:rsidR="00E86F93">
              <w:rPr>
                <w:lang w:val="en-US"/>
              </w:rPr>
              <w:t>defined. R</w:t>
            </w:r>
            <w:r w:rsidR="00D972D3" w:rsidRPr="00D972D3">
              <w:rPr>
                <w:lang w:val="en-US"/>
              </w:rPr>
              <w:t xml:space="preserve">egular evaluation </w:t>
            </w:r>
            <w:r w:rsidR="00E86F93">
              <w:rPr>
                <w:lang w:val="en-US"/>
              </w:rPr>
              <w:t>has</w:t>
            </w:r>
            <w:r w:rsidR="00D972D3" w:rsidRPr="00D972D3">
              <w:rPr>
                <w:lang w:val="en-US"/>
              </w:rPr>
              <w:t xml:space="preserve"> to</w:t>
            </w:r>
            <w:r w:rsidR="00D972D3">
              <w:rPr>
                <w:lang w:val="en-US"/>
              </w:rPr>
              <w:t xml:space="preserve"> </w:t>
            </w:r>
            <w:r w:rsidR="00E86F93">
              <w:rPr>
                <w:lang w:val="en-US"/>
              </w:rPr>
              <w:t>confirm that the validated status</w:t>
            </w:r>
            <w:r w:rsidR="00D972D3" w:rsidRPr="00D972D3">
              <w:rPr>
                <w:lang w:val="en-US"/>
              </w:rPr>
              <w:t xml:space="preserve"> of the system is maintained.</w:t>
            </w:r>
          </w:p>
        </w:tc>
      </w:tr>
      <w:tr w:rsidR="00784C83" w:rsidRPr="005D3D5F" w14:paraId="53606003" w14:textId="77777777" w:rsidTr="008550E9">
        <w:trPr>
          <w:tblHeader/>
        </w:trPr>
        <w:tc>
          <w:tcPr>
            <w:tcW w:w="2853" w:type="dxa"/>
            <w:shd w:val="clear" w:color="auto" w:fill="FFFFFF" w:themeFill="background1"/>
          </w:tcPr>
          <w:p w14:paraId="551D3A0D" w14:textId="0EB3C60D" w:rsidR="00784C83" w:rsidRDefault="00784C83" w:rsidP="008550E9">
            <w:pPr>
              <w:rPr>
                <w:b/>
                <w:lang w:val="en-US"/>
              </w:rPr>
            </w:pPr>
            <w:r>
              <w:rPr>
                <w:b/>
                <w:lang w:val="en-US"/>
              </w:rPr>
              <w:t>Suppliers and service provider</w:t>
            </w:r>
          </w:p>
        </w:tc>
        <w:tc>
          <w:tcPr>
            <w:tcW w:w="6435" w:type="dxa"/>
            <w:shd w:val="clear" w:color="auto" w:fill="FFFFFF" w:themeFill="background1"/>
          </w:tcPr>
          <w:p w14:paraId="5D48F809" w14:textId="20BD3DEB" w:rsidR="00784C83" w:rsidRPr="005D3D5F" w:rsidRDefault="008550E9" w:rsidP="008550E9">
            <w:pPr>
              <w:rPr>
                <w:lang w:val="en-US"/>
              </w:rPr>
            </w:pPr>
            <w:r>
              <w:rPr>
                <w:lang w:val="en-US"/>
              </w:rPr>
              <w:t>Reliability and competence of suppliers and service providers</w:t>
            </w:r>
            <w:r w:rsidR="00A656A7">
              <w:rPr>
                <w:lang w:val="en-US"/>
              </w:rPr>
              <w:t xml:space="preserve"> are crucial. </w:t>
            </w:r>
            <w:proofErr w:type="gramStart"/>
            <w:r w:rsidR="00606E35">
              <w:rPr>
                <w:lang w:val="en-US"/>
              </w:rPr>
              <w:t>Therefore</w:t>
            </w:r>
            <w:proofErr w:type="gramEnd"/>
            <w:r w:rsidR="00606E35">
              <w:rPr>
                <w:lang w:val="en-US"/>
              </w:rPr>
              <w:t xml:space="preserve"> the evaluation of a vendor shall be done risk-based. </w:t>
            </w:r>
            <w:r w:rsidR="003237E2">
              <w:rPr>
                <w:lang w:val="en-US"/>
              </w:rPr>
              <w:t>Between a regulated company and these third parties a formal agreement has to exist, where responsibilities of the vendor are clearly defined.</w:t>
            </w:r>
          </w:p>
        </w:tc>
      </w:tr>
      <w:tr w:rsidR="00784C83" w:rsidRPr="005D3D5F" w14:paraId="066AA015" w14:textId="77777777" w:rsidTr="008550E9">
        <w:trPr>
          <w:tblHeader/>
        </w:trPr>
        <w:tc>
          <w:tcPr>
            <w:tcW w:w="2853" w:type="dxa"/>
            <w:shd w:val="clear" w:color="auto" w:fill="FFFFFF" w:themeFill="background1"/>
          </w:tcPr>
          <w:p w14:paraId="3AF49C82" w14:textId="438BE88C" w:rsidR="00784C83" w:rsidRDefault="00784C83" w:rsidP="008550E9">
            <w:pPr>
              <w:rPr>
                <w:b/>
                <w:lang w:val="en-US"/>
              </w:rPr>
            </w:pPr>
            <w:r>
              <w:rPr>
                <w:b/>
                <w:lang w:val="en-US"/>
              </w:rPr>
              <w:t>Data integrity</w:t>
            </w:r>
          </w:p>
        </w:tc>
        <w:tc>
          <w:tcPr>
            <w:tcW w:w="6435" w:type="dxa"/>
            <w:shd w:val="clear" w:color="auto" w:fill="FFFFFF" w:themeFill="background1"/>
          </w:tcPr>
          <w:p w14:paraId="5524F8D3" w14:textId="20805AFF" w:rsidR="00784C83" w:rsidRPr="005D3D5F" w:rsidRDefault="00B40185" w:rsidP="00BF5755">
            <w:pPr>
              <w:rPr>
                <w:lang w:val="en-US"/>
              </w:rPr>
            </w:pPr>
            <w:r>
              <w:rPr>
                <w:lang w:val="en-US"/>
              </w:rPr>
              <w:t xml:space="preserve">Electronic records as well as electronic signatures have to be as reliable and trustworthy as paper records. </w:t>
            </w:r>
            <w:r w:rsidR="00B90FCB">
              <w:rPr>
                <w:lang w:val="en-US"/>
              </w:rPr>
              <w:t xml:space="preserve">The system must have the ability to recognize the changing of records. </w:t>
            </w:r>
            <w:r w:rsidR="00BF5755">
              <w:rPr>
                <w:lang w:val="en-US"/>
              </w:rPr>
              <w:t>Manually entered data as well as data, which are interchanged with other electronic systems, have to be automatically audited in terms of proper and secure data handling.</w:t>
            </w:r>
            <w:r w:rsidR="00C67B4B">
              <w:rPr>
                <w:lang w:val="en-US"/>
              </w:rPr>
              <w:t xml:space="preserve"> The system must be able to generate correct and complete copies for electronic records. The same requirement applies to the accessibility, the readability and integr</w:t>
            </w:r>
            <w:r w:rsidR="00306326">
              <w:rPr>
                <w:lang w:val="en-US"/>
              </w:rPr>
              <w:t>ity of</w:t>
            </w:r>
            <w:r w:rsidR="00C67B4B">
              <w:rPr>
                <w:lang w:val="en-US"/>
              </w:rPr>
              <w:t xml:space="preserve"> archived data during the retention period.</w:t>
            </w:r>
          </w:p>
        </w:tc>
      </w:tr>
      <w:tr w:rsidR="00784C83" w:rsidRPr="005D3D5F" w14:paraId="5BF3A4AD" w14:textId="77777777" w:rsidTr="008550E9">
        <w:trPr>
          <w:tblHeader/>
        </w:trPr>
        <w:tc>
          <w:tcPr>
            <w:tcW w:w="2853" w:type="dxa"/>
            <w:shd w:val="clear" w:color="auto" w:fill="FFFFFF" w:themeFill="background1"/>
          </w:tcPr>
          <w:p w14:paraId="3EE5F451" w14:textId="1D141790" w:rsidR="00784C83" w:rsidRDefault="00784C83" w:rsidP="008550E9">
            <w:pPr>
              <w:rPr>
                <w:b/>
                <w:lang w:val="en-US"/>
              </w:rPr>
            </w:pPr>
            <w:r>
              <w:rPr>
                <w:b/>
                <w:lang w:val="en-US"/>
              </w:rPr>
              <w:t>Audit trail &amp; support for change management</w:t>
            </w:r>
          </w:p>
        </w:tc>
        <w:tc>
          <w:tcPr>
            <w:tcW w:w="6435" w:type="dxa"/>
            <w:shd w:val="clear" w:color="auto" w:fill="FFFFFF" w:themeFill="background1"/>
          </w:tcPr>
          <w:p w14:paraId="16DA9E32" w14:textId="380E9894" w:rsidR="00784C83" w:rsidRPr="005D3D5F" w:rsidRDefault="00992BF9" w:rsidP="00051420">
            <w:pPr>
              <w:rPr>
                <w:lang w:val="en-US"/>
              </w:rPr>
            </w:pPr>
            <w:r>
              <w:rPr>
                <w:lang w:val="en-US"/>
              </w:rPr>
              <w:t xml:space="preserve">In addition to the defined </w:t>
            </w:r>
            <w:r w:rsidR="00051420">
              <w:rPr>
                <w:lang w:val="en-US"/>
              </w:rPr>
              <w:t>change control of the system itself, also changes to GMP relevant data have to be recorded throughout the life-cycle. Such an audit trail must include information about the change (before/after), the identity of the user, a time stamp and the reason for the change.</w:t>
            </w:r>
          </w:p>
        </w:tc>
      </w:tr>
      <w:tr w:rsidR="00784C83" w:rsidRPr="005D3D5F" w14:paraId="784A8812" w14:textId="77777777" w:rsidTr="008550E9">
        <w:trPr>
          <w:tblHeader/>
        </w:trPr>
        <w:tc>
          <w:tcPr>
            <w:tcW w:w="2853" w:type="dxa"/>
            <w:shd w:val="clear" w:color="auto" w:fill="FFFFFF" w:themeFill="background1"/>
          </w:tcPr>
          <w:p w14:paraId="65CC09EE" w14:textId="519E2E1F" w:rsidR="00784C83" w:rsidRDefault="00EF0D56" w:rsidP="008550E9">
            <w:pPr>
              <w:rPr>
                <w:b/>
                <w:lang w:val="en-US"/>
              </w:rPr>
            </w:pPr>
            <w:r>
              <w:rPr>
                <w:b/>
                <w:lang w:val="en-US"/>
              </w:rPr>
              <w:t xml:space="preserve">System access, user </w:t>
            </w:r>
            <w:r w:rsidR="005051D7">
              <w:rPr>
                <w:b/>
                <w:lang w:val="en-US"/>
              </w:rPr>
              <w:t>authentication</w:t>
            </w:r>
            <w:r>
              <w:rPr>
                <w:b/>
                <w:lang w:val="en-US"/>
              </w:rPr>
              <w:t xml:space="preserve"> and password management</w:t>
            </w:r>
          </w:p>
        </w:tc>
        <w:tc>
          <w:tcPr>
            <w:tcW w:w="6435" w:type="dxa"/>
            <w:shd w:val="clear" w:color="auto" w:fill="FFFFFF" w:themeFill="background1"/>
          </w:tcPr>
          <w:p w14:paraId="5FA5D789" w14:textId="78511888" w:rsidR="00784C83" w:rsidRPr="005D3D5F" w:rsidRDefault="00306326" w:rsidP="002065C9">
            <w:pPr>
              <w:rPr>
                <w:lang w:val="en-US"/>
              </w:rPr>
            </w:pPr>
            <w:r>
              <w:rPr>
                <w:lang w:val="en-US"/>
              </w:rPr>
              <w:t>Only authoris</w:t>
            </w:r>
            <w:r w:rsidR="00B15D74">
              <w:rPr>
                <w:lang w:val="en-US"/>
              </w:rPr>
              <w:t xml:space="preserve">ed persons may have access to the system. </w:t>
            </w:r>
            <w:r w:rsidR="000737B2">
              <w:rPr>
                <w:lang w:val="en-US"/>
              </w:rPr>
              <w:t>Special attention shall be pai</w:t>
            </w:r>
            <w:r w:rsidR="006A05A4">
              <w:rPr>
                <w:lang w:val="en-US"/>
              </w:rPr>
              <w:t xml:space="preserve">d to the password security. </w:t>
            </w:r>
            <w:r w:rsidR="00FE1FD1" w:rsidRPr="00FE1FD1">
              <w:rPr>
                <w:lang w:val="en-US"/>
              </w:rPr>
              <w:t>Changes to the configuration</w:t>
            </w:r>
            <w:r w:rsidR="00636D09">
              <w:rPr>
                <w:lang w:val="en-US"/>
              </w:rPr>
              <w:t xml:space="preserve"> of user access management must </w:t>
            </w:r>
            <w:r w:rsidR="00FE1FD1" w:rsidRPr="00FE1FD1">
              <w:rPr>
                <w:lang w:val="en-US"/>
              </w:rPr>
              <w:t>be recorded.</w:t>
            </w:r>
            <w:r w:rsidR="00636D09">
              <w:rPr>
                <w:lang w:val="en-US"/>
              </w:rPr>
              <w:t xml:space="preserve"> </w:t>
            </w:r>
            <w:r w:rsidR="006B70D5">
              <w:rPr>
                <w:lang w:val="en-US"/>
              </w:rPr>
              <w:t xml:space="preserve">The validity of user IDs has to be checked in regular time intervals. </w:t>
            </w:r>
            <w:r w:rsidR="00463721">
              <w:rPr>
                <w:lang w:val="en-US"/>
              </w:rPr>
              <w:t>In the case of any loss or an exit of a person, there have to exist procedures to repeal access rights.</w:t>
            </w:r>
            <w:r w:rsidR="004159C0">
              <w:rPr>
                <w:lang w:val="en-US"/>
              </w:rPr>
              <w:t xml:space="preserve"> </w:t>
            </w:r>
            <w:r w:rsidR="002065C9">
              <w:rPr>
                <w:lang w:val="en-US"/>
              </w:rPr>
              <w:t>Particular attention shall be paid to equipment, which uses user IDs or password information.</w:t>
            </w:r>
          </w:p>
        </w:tc>
      </w:tr>
      <w:tr w:rsidR="00EF0D56" w:rsidRPr="005D3D5F" w14:paraId="0A27D754" w14:textId="77777777" w:rsidTr="008550E9">
        <w:trPr>
          <w:tblHeader/>
        </w:trPr>
        <w:tc>
          <w:tcPr>
            <w:tcW w:w="2853" w:type="dxa"/>
            <w:shd w:val="clear" w:color="auto" w:fill="FFFFFF" w:themeFill="background1"/>
          </w:tcPr>
          <w:p w14:paraId="619F7C7C" w14:textId="7EB13448" w:rsidR="00EF0D56" w:rsidRDefault="005051D7" w:rsidP="008550E9">
            <w:pPr>
              <w:rPr>
                <w:b/>
                <w:lang w:val="en-US"/>
              </w:rPr>
            </w:pPr>
            <w:r>
              <w:rPr>
                <w:b/>
                <w:lang w:val="en-US"/>
              </w:rPr>
              <w:lastRenderedPageBreak/>
              <w:t>Digital signature</w:t>
            </w:r>
            <w:r w:rsidR="003A40F6">
              <w:rPr>
                <w:b/>
                <w:lang w:val="en-US"/>
              </w:rPr>
              <w:t>s</w:t>
            </w:r>
          </w:p>
        </w:tc>
        <w:tc>
          <w:tcPr>
            <w:tcW w:w="6435" w:type="dxa"/>
            <w:shd w:val="clear" w:color="auto" w:fill="FFFFFF" w:themeFill="background1"/>
          </w:tcPr>
          <w:p w14:paraId="3E7784A1" w14:textId="156F8182" w:rsidR="00EF0D56" w:rsidRPr="005D3D5F" w:rsidRDefault="00750CAB" w:rsidP="00E34A23">
            <w:pPr>
              <w:rPr>
                <w:lang w:val="en-US"/>
              </w:rPr>
            </w:pPr>
            <w:r>
              <w:rPr>
                <w:lang w:val="en-US"/>
              </w:rPr>
              <w:t xml:space="preserve">Electronic signatures are legally binding and to all respects equivalent to handwritten signatures on paper. </w:t>
            </w:r>
            <w:r w:rsidR="00182220">
              <w:rPr>
                <w:lang w:val="en-US"/>
              </w:rPr>
              <w:t xml:space="preserve">Apart from the mentioned requirements concerning user IDs and passwords, the system must be able to clearly assign an electronic signature to one single person. </w:t>
            </w:r>
            <w:r w:rsidR="00E34A23">
              <w:rPr>
                <w:lang w:val="en-US"/>
              </w:rPr>
              <w:t>They must be coupled to the electronic records and copying or chan</w:t>
            </w:r>
            <w:r w:rsidR="00D34F0E">
              <w:rPr>
                <w:lang w:val="en-US"/>
              </w:rPr>
              <w:t>g</w:t>
            </w:r>
            <w:r w:rsidR="00E34A23">
              <w:rPr>
                <w:lang w:val="en-US"/>
              </w:rPr>
              <w:t>ing must be prevented.</w:t>
            </w:r>
          </w:p>
        </w:tc>
      </w:tr>
      <w:tr w:rsidR="005051D7" w:rsidRPr="005D3D5F" w14:paraId="46326D50" w14:textId="77777777" w:rsidTr="008550E9">
        <w:trPr>
          <w:tblHeader/>
        </w:trPr>
        <w:tc>
          <w:tcPr>
            <w:tcW w:w="2853" w:type="dxa"/>
            <w:shd w:val="clear" w:color="auto" w:fill="FFFFFF" w:themeFill="background1"/>
          </w:tcPr>
          <w:p w14:paraId="5B418CAF" w14:textId="2A28B530" w:rsidR="005051D7" w:rsidRDefault="00D846EF" w:rsidP="008550E9">
            <w:pPr>
              <w:rPr>
                <w:b/>
                <w:lang w:val="en-US"/>
              </w:rPr>
            </w:pPr>
            <w:r>
              <w:rPr>
                <w:b/>
                <w:lang w:val="en-US"/>
              </w:rPr>
              <w:t>Open systems</w:t>
            </w:r>
          </w:p>
        </w:tc>
        <w:tc>
          <w:tcPr>
            <w:tcW w:w="6435" w:type="dxa"/>
            <w:shd w:val="clear" w:color="auto" w:fill="FFFFFF" w:themeFill="background1"/>
          </w:tcPr>
          <w:p w14:paraId="7CBEFE65" w14:textId="38EC3E5B" w:rsidR="005051D7" w:rsidRPr="005D3D5F" w:rsidRDefault="0052471B" w:rsidP="008550E9">
            <w:pPr>
              <w:rPr>
                <w:lang w:val="en-US"/>
              </w:rPr>
            </w:pPr>
            <w:r>
              <w:rPr>
                <w:lang w:val="en-US"/>
              </w:rPr>
              <w:t>Using open systems further controls or tools might be necessary in o</w:t>
            </w:r>
            <w:r w:rsidR="00DA65EE">
              <w:rPr>
                <w:lang w:val="en-US"/>
              </w:rPr>
              <w:t>r</w:t>
            </w:r>
            <w:r>
              <w:rPr>
                <w:lang w:val="en-US"/>
              </w:rPr>
              <w:t>der to secure data integrity and confidentiality.</w:t>
            </w:r>
          </w:p>
        </w:tc>
      </w:tr>
    </w:tbl>
    <w:p w14:paraId="3274E682" w14:textId="5A210BD0" w:rsidR="002E05C3" w:rsidRDefault="002E05C3">
      <w:pPr>
        <w:spacing w:before="0" w:after="200" w:line="276" w:lineRule="auto"/>
        <w:rPr>
          <w:rFonts w:eastAsia="Times New Roman" w:cs="Times New Roman"/>
          <w:bCs/>
          <w:color w:val="003D76"/>
          <w:sz w:val="24"/>
          <w:szCs w:val="24"/>
          <w:lang w:eastAsia="de-DE"/>
        </w:rPr>
      </w:pPr>
    </w:p>
    <w:p w14:paraId="5707C95C" w14:textId="40CF13D6" w:rsidR="00096054" w:rsidRDefault="00C11164" w:rsidP="007609D8">
      <w:pPr>
        <w:pStyle w:val="berschrift1"/>
      </w:pPr>
      <w:bookmarkStart w:id="4" w:name="_Toc462923016"/>
      <w:r>
        <w:t>Advantages</w:t>
      </w:r>
      <w:bookmarkEnd w:id="4"/>
    </w:p>
    <w:p w14:paraId="62AB1860" w14:textId="77777777" w:rsidR="002D0AE0" w:rsidRPr="002D0AE0" w:rsidRDefault="002D0AE0" w:rsidP="002D0AE0"/>
    <w:p w14:paraId="4CBF30FD" w14:textId="32181D38" w:rsidR="00096054" w:rsidRPr="00096054" w:rsidRDefault="00141BA3" w:rsidP="00096054">
      <w:r>
        <w:t xml:space="preserve">The Fabasoft Cloud offers the following advantages for </w:t>
      </w:r>
      <w:r w:rsidR="00FD152E">
        <w:t xml:space="preserve">the </w:t>
      </w:r>
      <w:r>
        <w:t>pharmaceutical industry:</w:t>
      </w:r>
    </w:p>
    <w:p w14:paraId="616A3DC9" w14:textId="77777777" w:rsidR="00096054" w:rsidRDefault="00096054" w:rsidP="00096054">
      <w:pPr>
        <w:pStyle w:val="berschrift2"/>
      </w:pPr>
      <w:bookmarkStart w:id="5" w:name="_Toc462923017"/>
      <w:r>
        <w:t>Security</w:t>
      </w:r>
      <w:bookmarkEnd w:id="5"/>
    </w:p>
    <w:p w14:paraId="348EDDF3" w14:textId="6B402451" w:rsidR="00C938AB" w:rsidRPr="00096054" w:rsidRDefault="00BB0847" w:rsidP="00B50ECA">
      <w:r>
        <w:t>Customers of the Fabasoft Cloud can decide themselves, if their data shall be stored in one of the Fabasoft dat</w:t>
      </w:r>
      <w:r w:rsidR="003A40F6">
        <w:t>a</w:t>
      </w:r>
      <w:r>
        <w:t xml:space="preserve"> centres in Germany, Austria or Switzerland. </w:t>
      </w:r>
      <w:r w:rsidR="00E449BE">
        <w:t>Even for single projects, users can select the data location individually.</w:t>
      </w:r>
      <w:r w:rsidR="00B50ECA">
        <w:t xml:space="preserve"> </w:t>
      </w:r>
      <w:r w:rsidR="00040607">
        <w:t xml:space="preserve">The services are highly available due to redundant servers. </w:t>
      </w:r>
      <w:r w:rsidR="00B50ECA">
        <w:t xml:space="preserve"> </w:t>
      </w:r>
      <w:r w:rsidR="00773DCC">
        <w:t>Fabasoft has local office</w:t>
      </w:r>
      <w:r w:rsidR="00107496">
        <w:t>s</w:t>
      </w:r>
      <w:r w:rsidR="00773DCC">
        <w:t xml:space="preserve"> in these countries, such that local contracting partners and agreements following local law ensure that local data protection regulations are </w:t>
      </w:r>
      <w:r w:rsidR="00380850">
        <w:t xml:space="preserve">met. </w:t>
      </w:r>
      <w:r w:rsidR="00E95347">
        <w:t>All data used in the cloud are encrypted end-to-end by Fabasofts’</w:t>
      </w:r>
      <w:r w:rsidR="00675E2E">
        <w:t>s own encr</w:t>
      </w:r>
      <w:r w:rsidR="00E95347">
        <w:t>y</w:t>
      </w:r>
      <w:r w:rsidR="00675E2E">
        <w:t>p</w:t>
      </w:r>
      <w:r w:rsidR="00342B3A">
        <w:t>tion standard “</w:t>
      </w:r>
      <w:r w:rsidR="00E95347">
        <w:t>Secomo</w:t>
      </w:r>
      <w:r w:rsidR="00342B3A">
        <w:t>”</w:t>
      </w:r>
      <w:r w:rsidR="00E95347">
        <w:t xml:space="preserve">. </w:t>
      </w:r>
      <w:r w:rsidR="000A4629">
        <w:t xml:space="preserve">Documents can be </w:t>
      </w:r>
      <w:r w:rsidR="003A40F6">
        <w:t xml:space="preserve">synchronised </w:t>
      </w:r>
      <w:r w:rsidR="000A4629">
        <w:t xml:space="preserve">and </w:t>
      </w:r>
      <w:r w:rsidR="003A40F6">
        <w:t xml:space="preserve">shared </w:t>
      </w:r>
      <w:r w:rsidR="000A4629">
        <w:t xml:space="preserve">between users from different </w:t>
      </w:r>
      <w:r w:rsidR="00342B3A">
        <w:t>companies easily via so-called “teamrooms”</w:t>
      </w:r>
      <w:r w:rsidR="000A4629">
        <w:t>. Therefore it is essential to make sure that shared keys for encryption</w:t>
      </w:r>
      <w:r w:rsidR="00773DCC">
        <w:t xml:space="preserve"> </w:t>
      </w:r>
      <w:r w:rsidR="000A4629">
        <w:t xml:space="preserve">enable users only to access and read information, </w:t>
      </w:r>
      <w:r w:rsidR="00B8187C">
        <w:t xml:space="preserve">for which </w:t>
      </w:r>
      <w:r w:rsidR="000A4629">
        <w:t xml:space="preserve">they have the appropriate rights. </w:t>
      </w:r>
      <w:r w:rsidR="0046734A">
        <w:t xml:space="preserve">The master key is securely stored in the Secomo appliance and never leaves it. </w:t>
      </w:r>
      <w:r w:rsidR="00B50ECA">
        <w:t xml:space="preserve"> </w:t>
      </w:r>
      <w:r w:rsidR="00E449BE">
        <w:t xml:space="preserve">For all users the access rights of a teamroom or a document are clearly </w:t>
      </w:r>
      <w:r w:rsidR="00507823">
        <w:t>defined</w:t>
      </w:r>
      <w:r w:rsidR="00E449BE">
        <w:t xml:space="preserve">. The administrator of the Fabasoft Cloud can easily manage access rights and e. g. repeal access rights for any exited </w:t>
      </w:r>
      <w:r w:rsidR="00262128">
        <w:t>user</w:t>
      </w:r>
      <w:r w:rsidR="00E449BE">
        <w:t>.</w:t>
      </w:r>
      <w:r w:rsidR="00B50ECA">
        <w:t xml:space="preserve"> </w:t>
      </w:r>
      <w:r w:rsidR="00C938AB">
        <w:t>Furthermore data on an external device as a smart phone, tablet or laptop can be remote wiped by the administrator. Thus full data control for shared information remains at the customer.</w:t>
      </w:r>
      <w:r w:rsidR="00B50ECA">
        <w:t xml:space="preserve"> Fabasoft is an independent cloud provider operating its own infrastructure (software, hardware, engineering</w:t>
      </w:r>
      <w:r w:rsidR="006A6732">
        <w:t>, support</w:t>
      </w:r>
      <w:r w:rsidR="00B50ECA">
        <w:t>).</w:t>
      </w:r>
    </w:p>
    <w:p w14:paraId="39BA73D6" w14:textId="77777777" w:rsidR="00D75CA4" w:rsidRDefault="00D75CA4" w:rsidP="00D75CA4">
      <w:pPr>
        <w:pStyle w:val="berschrift2"/>
      </w:pPr>
      <w:bookmarkStart w:id="6" w:name="_Toc462923018"/>
      <w:r>
        <w:t>Transparency</w:t>
      </w:r>
      <w:bookmarkEnd w:id="6"/>
    </w:p>
    <w:p w14:paraId="40FAA5B2" w14:textId="40EC10F6" w:rsidR="00D75CA4" w:rsidRDefault="00D75CA4" w:rsidP="00D75CA4">
      <w:r>
        <w:t xml:space="preserve">Due to the clear front end, any user of the Fabasoft Cloud always knows, where his data is stored. Additionally it is clearly </w:t>
      </w:r>
      <w:r w:rsidR="00507823">
        <w:t>defined</w:t>
      </w:r>
      <w:r w:rsidR="00CF2571">
        <w:t xml:space="preserve"> with whom </w:t>
      </w:r>
      <w:r w:rsidR="00EB1E0A">
        <w:t>one</w:t>
      </w:r>
      <w:r w:rsidR="00CF2571">
        <w:t xml:space="preserve"> </w:t>
      </w:r>
      <w:r w:rsidR="00EB1E0A">
        <w:t>is</w:t>
      </w:r>
      <w:r w:rsidR="00CF2571">
        <w:t xml:space="preserve"> sharing data with what access rights (read, change, full control). Due to full audit-proof archiving it is recorded at any time, who accesses how what data and when. Using digital signature blocks in workflows </w:t>
      </w:r>
      <w:r w:rsidR="00373E02">
        <w:t>results in full t</w:t>
      </w:r>
      <w:r w:rsidR="006B1C7E">
        <w:t>ransparency about any approvals or other actions on documents.</w:t>
      </w:r>
    </w:p>
    <w:p w14:paraId="518B6FD8" w14:textId="77777777" w:rsidR="00096054" w:rsidRDefault="00096054" w:rsidP="00096054">
      <w:pPr>
        <w:pStyle w:val="berschrift2"/>
      </w:pPr>
      <w:bookmarkStart w:id="7" w:name="_Toc462923019"/>
      <w:r>
        <w:lastRenderedPageBreak/>
        <w:t>Compliance</w:t>
      </w:r>
      <w:bookmarkEnd w:id="7"/>
    </w:p>
    <w:p w14:paraId="70B30DCE" w14:textId="3EFAA781" w:rsidR="00096054" w:rsidRPr="00096054" w:rsidRDefault="002805B0" w:rsidP="00096054">
      <w:r>
        <w:t>The Fabasoft Cloud is fully certified as audit-proof archive for data handling. The time travel function gives access to a seamless history of documents and even complete projects.</w:t>
      </w:r>
      <w:r w:rsidR="005D7338">
        <w:t xml:space="preserve"> Defined released versions of documents (e. g. terms and conditions) provide a clear and traceable basis for collaboration. This fe</w:t>
      </w:r>
      <w:r w:rsidR="00150336">
        <w:t>ature is especially valuable</w:t>
      </w:r>
      <w:r w:rsidR="00546448">
        <w:t xml:space="preserve"> in ordert o document who has approved when a document</w:t>
      </w:r>
      <w:r w:rsidR="005D7338">
        <w:t>.</w:t>
      </w:r>
      <w:r w:rsidR="004403E7">
        <w:t xml:space="preserve"> Defined workflows automate, secure and control important processes.</w:t>
      </w:r>
    </w:p>
    <w:p w14:paraId="5C0497DD" w14:textId="77777777" w:rsidR="00096054" w:rsidRDefault="00096054" w:rsidP="00096054">
      <w:pPr>
        <w:pStyle w:val="berschrift2"/>
      </w:pPr>
      <w:bookmarkStart w:id="8" w:name="_Toc462923020"/>
      <w:r>
        <w:t>Quality</w:t>
      </w:r>
      <w:bookmarkEnd w:id="8"/>
    </w:p>
    <w:p w14:paraId="11E2B606" w14:textId="4E974FF3" w:rsidR="00096054" w:rsidRPr="00096054" w:rsidRDefault="004A4652" w:rsidP="00096054">
      <w:r>
        <w:t>100 percent of the code of the Fabasoft Cloud was created in Europe</w:t>
      </w:r>
      <w:r w:rsidR="00FF03C7">
        <w:t>. The Fabasoft headquarters</w:t>
      </w:r>
      <w:r>
        <w:t xml:space="preserve"> </w:t>
      </w:r>
      <w:r w:rsidR="00FF03C7">
        <w:t>is located</w:t>
      </w:r>
      <w:r>
        <w:t xml:space="preserve"> in Linz/Austria. </w:t>
      </w:r>
      <w:r w:rsidR="00C60CA0">
        <w:t xml:space="preserve">The cloud solution is certified according to the highest European standards and has been awarded so far with most certificates </w:t>
      </w:r>
      <w:r w:rsidR="00546448">
        <w:t>for</w:t>
      </w:r>
      <w:r w:rsidR="00C60CA0">
        <w:t xml:space="preserve"> cloud solutions</w:t>
      </w:r>
      <w:r w:rsidR="006E1695">
        <w:t xml:space="preserve"> worldwide – especially related to </w:t>
      </w:r>
      <w:r w:rsidR="006E6B2A">
        <w:t>security and compliance</w:t>
      </w:r>
      <w:r w:rsidR="00C60CA0">
        <w:t xml:space="preserve">. The Fabasoft Cloud was originally designed and created as native cloud solution. Therefore it is a well established and over several years proven tool for </w:t>
      </w:r>
      <w:r w:rsidR="00546448">
        <w:t>boundless digital records management for pharmaceutical companies</w:t>
      </w:r>
      <w:r w:rsidR="00C60CA0">
        <w:t>.</w:t>
      </w:r>
    </w:p>
    <w:p w14:paraId="7C6CE780" w14:textId="77777777" w:rsidR="0030409D" w:rsidRDefault="0030409D" w:rsidP="0030409D">
      <w:pPr>
        <w:pStyle w:val="berschrift2"/>
      </w:pPr>
      <w:bookmarkStart w:id="9" w:name="_Toc462923021"/>
      <w:r>
        <w:t>Experience</w:t>
      </w:r>
      <w:bookmarkEnd w:id="9"/>
    </w:p>
    <w:p w14:paraId="78FA2490" w14:textId="7B92F50B" w:rsidR="0030409D" w:rsidRPr="00096054" w:rsidRDefault="0030409D" w:rsidP="0030409D">
      <w:r>
        <w:t>Fabasoft has more than 28 years experience in digit</w:t>
      </w:r>
      <w:r w:rsidR="00366532">
        <w:t>i</w:t>
      </w:r>
      <w:r>
        <w:t>si</w:t>
      </w:r>
      <w:r w:rsidR="00A97D16">
        <w:t xml:space="preserve">ng business processes. Almost all customers are from pharmaceutics, industry, finance or the public sector. So the senior engineers at Fabasoft have specific knowledge about the needs in these markets. </w:t>
      </w:r>
      <w:r w:rsidR="00CE6E11">
        <w:t>A</w:t>
      </w:r>
      <w:r w:rsidR="006E1695">
        <w:t xml:space="preserve">dditionally the company </w:t>
      </w:r>
      <w:r w:rsidR="00553235">
        <w:t>has</w:t>
      </w:r>
      <w:r w:rsidR="00CE6E11">
        <w:t xml:space="preserve"> several offices in Germany, Austria and Switzerland as well as docking points for partners in London and Boston. </w:t>
      </w:r>
      <w:r w:rsidR="00913B17">
        <w:t xml:space="preserve">Thus apart from business knowledge, Fabasoft offers its customers know-how about the national market and </w:t>
      </w:r>
      <w:r w:rsidR="004E270E">
        <w:t xml:space="preserve">regulations inside </w:t>
      </w:r>
      <w:r w:rsidR="00913B17">
        <w:t>the European Union.</w:t>
      </w:r>
    </w:p>
    <w:p w14:paraId="1AD256FB" w14:textId="77777777" w:rsidR="00096054" w:rsidRDefault="00096054" w:rsidP="00096054">
      <w:pPr>
        <w:pStyle w:val="berschrift2"/>
      </w:pPr>
      <w:bookmarkStart w:id="10" w:name="_Toc462923022"/>
      <w:r>
        <w:t>Agility</w:t>
      </w:r>
      <w:bookmarkEnd w:id="10"/>
    </w:p>
    <w:p w14:paraId="2BFC09BE" w14:textId="5342B906" w:rsidR="000A5BF2" w:rsidRDefault="00230C57" w:rsidP="000A5BF2">
      <w:r>
        <w:t xml:space="preserve">Pharmaceutical companies benefit from real-time collaboration of internal team members as well as external partners. Documents can </w:t>
      </w:r>
      <w:r w:rsidR="00DB2CC0">
        <w:t xml:space="preserve">be </w:t>
      </w:r>
      <w:r w:rsidR="00553235">
        <w:t xml:space="preserve">synchronised, shard and </w:t>
      </w:r>
      <w:r>
        <w:t>edited</w:t>
      </w:r>
      <w:r w:rsidR="00553235">
        <w:t xml:space="preserve"> </w:t>
      </w:r>
      <w:r>
        <w:t xml:space="preserve">via desktop, laptop, tablet or smartphone. Apps for content edition and workflow management even further enhance mobility. </w:t>
      </w:r>
      <w:r w:rsidR="00151D31">
        <w:t xml:space="preserve">Free monthly updates of the Fabasoft Cloud </w:t>
      </w:r>
      <w:r w:rsidR="001A6CEF">
        <w:t>deliver new features and innovations to all customers</w:t>
      </w:r>
      <w:r w:rsidR="00553235">
        <w:t xml:space="preserve"> such that they can permanently work with latest state-of-the-art software</w:t>
      </w:r>
      <w:r w:rsidR="001A6CEF">
        <w:t xml:space="preserve">. </w:t>
      </w:r>
      <w:r w:rsidR="00587997">
        <w:t>The easy handl</w:t>
      </w:r>
      <w:r w:rsidR="00DB2CC0">
        <w:t>ing of the cloud solution accele</w:t>
      </w:r>
      <w:r w:rsidR="00587997">
        <w:t xml:space="preserve">rates business processes. </w:t>
      </w:r>
      <w:r w:rsidR="002B3A79">
        <w:t>The combination of private cloud and public cloud o</w:t>
      </w:r>
      <w:r w:rsidR="00553235">
        <w:t>ffers scalability when more res</w:t>
      </w:r>
      <w:r w:rsidR="002B3A79">
        <w:t xml:space="preserve">ources are needed for a single project or </w:t>
      </w:r>
      <w:r w:rsidR="00DB2CC0">
        <w:t>other purposes</w:t>
      </w:r>
      <w:r w:rsidR="002B3A79">
        <w:t xml:space="preserve">. </w:t>
      </w:r>
      <w:r w:rsidR="00656353">
        <w:t xml:space="preserve">The experienced Fabasoft Cloud engineers offer their know-how to develop new business models </w:t>
      </w:r>
      <w:r w:rsidR="00553235">
        <w:t xml:space="preserve">in co-creation </w:t>
      </w:r>
      <w:r w:rsidR="00656353">
        <w:t xml:space="preserve">with the customer for their specific use cases. </w:t>
      </w:r>
      <w:r w:rsidR="00940E64">
        <w:t>An intelligent semantic search makes sure that user quickly find the right information.</w:t>
      </w:r>
    </w:p>
    <w:p w14:paraId="31A6CD43" w14:textId="77777777" w:rsidR="00736F26" w:rsidRDefault="00736F26" w:rsidP="00736F26">
      <w:pPr>
        <w:pStyle w:val="berschrift2"/>
      </w:pPr>
      <w:bookmarkStart w:id="11" w:name="_Toc462923023"/>
      <w:r>
        <w:t>Flexibility</w:t>
      </w:r>
      <w:bookmarkEnd w:id="11"/>
    </w:p>
    <w:p w14:paraId="671D4CB1" w14:textId="01CC006E" w:rsidR="00736F26" w:rsidRPr="00096054" w:rsidRDefault="003F5D6A" w:rsidP="00736F26">
      <w:r>
        <w:t xml:space="preserve">Depending on the requirements of the customer and/or the existing IT infrastructure, the Fabasoft Cloud can be used as public cloud, private cloud or hybrid cloud. </w:t>
      </w:r>
      <w:r w:rsidR="004E2B45">
        <w:t xml:space="preserve">Using the public cloud, customers rent their </w:t>
      </w:r>
      <w:r w:rsidR="00175116">
        <w:t xml:space="preserve">storage packages and </w:t>
      </w:r>
      <w:r w:rsidR="00520A5F">
        <w:t xml:space="preserve">a </w:t>
      </w:r>
      <w:r w:rsidR="00175116">
        <w:t>number of user licenses within the Fabasoft Cloud data centres. The private cloud is installed as appliance (combination of hardware and pre-installed software) in the customer</w:t>
      </w:r>
      <w:r w:rsidR="00A279BE">
        <w:t>’</w:t>
      </w:r>
      <w:r w:rsidR="00175116">
        <w:t xml:space="preserve">s data centre. </w:t>
      </w:r>
      <w:r w:rsidR="00436CE8">
        <w:t xml:space="preserve">Customers interested in a hybrid cloud </w:t>
      </w:r>
      <w:r w:rsidR="00436CE8">
        <w:lastRenderedPageBreak/>
        <w:t>solution select from a private cloud operated by themselves in their data centre plus the use of the public cloud (for maybe single projects), or their private cloud operated by Fabasoft in one of the Fabasoft Cloud data centres.</w:t>
      </w:r>
      <w:r w:rsidR="000B55D7">
        <w:t xml:space="preserve"> </w:t>
      </w:r>
      <w:r w:rsidR="006C20E7">
        <w:t xml:space="preserve">In the standard edition several interfaces (APIs) are available as e. g. for SAP. </w:t>
      </w:r>
      <w:r w:rsidR="00152836">
        <w:t>Documents can be edited offline and are automatically synchronised once the device is connected to the internet again.</w:t>
      </w:r>
      <w:r w:rsidR="00436CE8">
        <w:t xml:space="preserve"> </w:t>
      </w:r>
      <w:r w:rsidR="00152836">
        <w:t xml:space="preserve">Mobile content editing is possible via e. g. Microsoft Office 365. </w:t>
      </w:r>
      <w:r w:rsidR="00030136">
        <w:t>Manifold options for</w:t>
      </w:r>
      <w:r w:rsidR="00694F04">
        <w:t xml:space="preserve"> t</w:t>
      </w:r>
      <w:r w:rsidR="00030136">
        <w:t>he configuration of the Fabasoft Cloud, platform independence and 22 available languages offer even more flexibility.</w:t>
      </w:r>
    </w:p>
    <w:p w14:paraId="7680A01B" w14:textId="77777777" w:rsidR="00096054" w:rsidRDefault="00096054" w:rsidP="00096054">
      <w:pPr>
        <w:pStyle w:val="berschrift2"/>
      </w:pPr>
      <w:bookmarkStart w:id="12" w:name="_Toc462923024"/>
      <w:r>
        <w:t>Simplicity</w:t>
      </w:r>
      <w:bookmarkEnd w:id="12"/>
    </w:p>
    <w:p w14:paraId="06E89869" w14:textId="14ECCD8A" w:rsidR="00096054" w:rsidRPr="00096054" w:rsidRDefault="005918E6" w:rsidP="00096054">
      <w:r>
        <w:t xml:space="preserve">After </w:t>
      </w:r>
      <w:r w:rsidR="007A7F0B">
        <w:t>implementing</w:t>
      </w:r>
      <w:r>
        <w:t xml:space="preserve"> a cloud solution, the success is totally dependent upon the simplicity how it</w:t>
      </w:r>
      <w:r w:rsidR="00981B57">
        <w:t xml:space="preserve"> can be used</w:t>
      </w:r>
      <w:r w:rsidR="00695B3A">
        <w:t xml:space="preserve"> and the acceptance of the users</w:t>
      </w:r>
      <w:r>
        <w:t>. Fabasoft has invested a lot of effort to offer highest usability and clarity for users</w:t>
      </w:r>
      <w:r w:rsidR="00695B3A">
        <w:t xml:space="preserve"> of the Fabasoft Cloud</w:t>
      </w:r>
      <w:r>
        <w:t xml:space="preserve">. Additionally it offers full accessibility, which </w:t>
      </w:r>
      <w:r w:rsidR="006516F9">
        <w:t>has</w:t>
      </w:r>
      <w:r w:rsidR="008E592B">
        <w:t xml:space="preserve"> also been certified by the “Pfennigparade”</w:t>
      </w:r>
      <w:r w:rsidR="00127A5C">
        <w:t xml:space="preserve"> – a renowned German centre for web accessibility</w:t>
      </w:r>
      <w:r w:rsidR="00A8710C">
        <w:t xml:space="preserve">. </w:t>
      </w:r>
      <w:r w:rsidR="008437B3">
        <w:t xml:space="preserve">Using certificates, which are installed on a device, Active Directory or digital IDs users can use single-sign-on to access the Fabasoft Cloud. </w:t>
      </w:r>
      <w:r w:rsidR="00E520EB">
        <w:t xml:space="preserve">The adminstrator can </w:t>
      </w:r>
      <w:r w:rsidR="00D27AF5">
        <w:t>simply</w:t>
      </w:r>
      <w:r w:rsidR="00E520EB">
        <w:t xml:space="preserve"> manage user rights and access rights within the Fabasoft Cloud.</w:t>
      </w:r>
      <w:r w:rsidR="00453493">
        <w:t xml:space="preserve"> </w:t>
      </w:r>
      <w:r w:rsidR="00C91425">
        <w:t xml:space="preserve">New persons can easily </w:t>
      </w:r>
      <w:r w:rsidR="002313C5">
        <w:t xml:space="preserve">and quickly invite external partners to join a project and register to </w:t>
      </w:r>
      <w:r w:rsidR="00C91425">
        <w:t xml:space="preserve">the Fabasoft Cloud. Clients with their own data centre can benefit from using the Fabasoft Private Cloud </w:t>
      </w:r>
      <w:r w:rsidR="002313C5">
        <w:t>a</w:t>
      </w:r>
      <w:r w:rsidR="00C91425">
        <w:t xml:space="preserve">ppliance, which is delivered as hardware unit with pre-installed and pre-configured software, such that the time for installation and </w:t>
      </w:r>
      <w:r w:rsidR="002313C5">
        <w:t>commissioning</w:t>
      </w:r>
      <w:r w:rsidR="00C91425">
        <w:t xml:space="preserve"> is minimized.</w:t>
      </w:r>
    </w:p>
    <w:p w14:paraId="3AE403C3" w14:textId="77777777" w:rsidR="00096054" w:rsidRDefault="00096054" w:rsidP="00096054">
      <w:pPr>
        <w:pStyle w:val="berschrift2"/>
      </w:pPr>
      <w:bookmarkStart w:id="13" w:name="_Toc462923025"/>
      <w:r>
        <w:t>Support</w:t>
      </w:r>
      <w:bookmarkEnd w:id="13"/>
    </w:p>
    <w:p w14:paraId="451F3D9A" w14:textId="60DBF432" w:rsidR="00451D17" w:rsidRPr="00096054" w:rsidRDefault="00451D17" w:rsidP="008E12AA">
      <w:r>
        <w:t xml:space="preserve">Local contact persons in local offices ensure a personal, fast and qualified support for customers of the Fabasoft Cloud. 99 percent of 1st level inquiries are answered within 2 hours with specific proposals for the solution. </w:t>
      </w:r>
      <w:r w:rsidR="00484AF5">
        <w:t xml:space="preserve">This highly qualitative support is part of signed and guaranteed service level agreements (SLAs). </w:t>
      </w:r>
      <w:r w:rsidR="001D0CD7">
        <w:t xml:space="preserve">Also users </w:t>
      </w:r>
      <w:r w:rsidR="00AD3971">
        <w:t>of t</w:t>
      </w:r>
      <w:r w:rsidR="001D0CD7">
        <w:t xml:space="preserve">he Fabasoft Public Cloud </w:t>
      </w:r>
      <w:r w:rsidR="00AD3971">
        <w:t xml:space="preserve">can utilize this support. </w:t>
      </w:r>
      <w:r w:rsidR="00202A32">
        <w:t xml:space="preserve">Especially when the requirements for a projects are individual, experienced Fabasoft senior engineers work out a concept with the customer how to optimally utilize the Fabasoft Cloud for the </w:t>
      </w:r>
      <w:r w:rsidR="005E29EC">
        <w:t xml:space="preserve">considered </w:t>
      </w:r>
      <w:r w:rsidR="00202A32">
        <w:t>use case</w:t>
      </w:r>
      <w:r w:rsidR="005E29EC">
        <w:t>. Trainings about the Fabasoft Cloud can be booked at the Fabasoft Academy.</w:t>
      </w:r>
    </w:p>
    <w:p w14:paraId="74CAEAAD" w14:textId="1D797B24" w:rsidR="008E12AA" w:rsidRDefault="00815D83" w:rsidP="008E12AA">
      <w:pPr>
        <w:pStyle w:val="berschrift2"/>
      </w:pPr>
      <w:bookmarkStart w:id="14" w:name="_Toc462923026"/>
      <w:r>
        <w:t>Cost E</w:t>
      </w:r>
      <w:r w:rsidR="008E12AA">
        <w:t>fficiency</w:t>
      </w:r>
      <w:bookmarkEnd w:id="14"/>
    </w:p>
    <w:p w14:paraId="2799D547" w14:textId="4AC2C562" w:rsidR="008E12AA" w:rsidRDefault="00920C9A" w:rsidP="008E12AA">
      <w:r>
        <w:t xml:space="preserve">Especially in regulated industries the requirements concerning privacy, security and compliance are very high. </w:t>
      </w:r>
      <w:r w:rsidR="00CC1AA1">
        <w:t>Buying, operating</w:t>
      </w:r>
      <w:r w:rsidR="007731C4">
        <w:t>, continuously developing</w:t>
      </w:r>
      <w:r w:rsidR="00CC1AA1">
        <w:t xml:space="preserve"> and supporting an individual software solution is therefore very costly. </w:t>
      </w:r>
      <w:r w:rsidR="006E7B45">
        <w:t>This circumstance and the points mentioned at</w:t>
      </w:r>
      <w:r w:rsidR="00815D83">
        <w:t xml:space="preserve"> the introduction of this white</w:t>
      </w:r>
      <w:r w:rsidR="006E7B45">
        <w:t>paper drive many pharmaceutical companies towards cloud solutions. The following benefits regarding cost efficiency can usually be achieved:</w:t>
      </w:r>
      <w:r w:rsidR="00014C22">
        <w:br/>
      </w:r>
    </w:p>
    <w:p w14:paraId="4E559866" w14:textId="77777777" w:rsidR="006E7B45" w:rsidRPr="006E7B45" w:rsidRDefault="006E7B45" w:rsidP="006E7B45">
      <w:pPr>
        <w:pStyle w:val="Listenabsatz"/>
        <w:numPr>
          <w:ilvl w:val="0"/>
          <w:numId w:val="42"/>
        </w:numPr>
      </w:pPr>
      <w:r w:rsidRPr="006E7B45">
        <w:t>Advanced productivity of employees</w:t>
      </w:r>
    </w:p>
    <w:p w14:paraId="44C46742" w14:textId="77777777" w:rsidR="006E7B45" w:rsidRPr="006E7B45" w:rsidRDefault="006E7B45" w:rsidP="006E7B45">
      <w:pPr>
        <w:pStyle w:val="Listenabsatz"/>
        <w:numPr>
          <w:ilvl w:val="0"/>
          <w:numId w:val="42"/>
        </w:numPr>
      </w:pPr>
      <w:r w:rsidRPr="006E7B45">
        <w:t>Reduction of shadow IT</w:t>
      </w:r>
    </w:p>
    <w:p w14:paraId="3DBA1F86" w14:textId="792EC769" w:rsidR="006E7B45" w:rsidRPr="006E7B45" w:rsidRDefault="00B0255D" w:rsidP="006E7B45">
      <w:pPr>
        <w:pStyle w:val="Listenabsatz"/>
        <w:numPr>
          <w:ilvl w:val="0"/>
          <w:numId w:val="42"/>
        </w:numPr>
      </w:pPr>
      <w:r>
        <w:t>Reduc</w:t>
      </w:r>
      <w:r w:rsidR="006E7B45" w:rsidRPr="006E7B45">
        <w:t>tion of redundant data</w:t>
      </w:r>
    </w:p>
    <w:p w14:paraId="28583BA3" w14:textId="77777777" w:rsidR="006E7B45" w:rsidRPr="006E7B45" w:rsidRDefault="006E7B45" w:rsidP="006E7B45">
      <w:pPr>
        <w:pStyle w:val="Listenabsatz"/>
        <w:numPr>
          <w:ilvl w:val="0"/>
          <w:numId w:val="42"/>
        </w:numPr>
      </w:pPr>
      <w:r w:rsidRPr="006E7B45">
        <w:t>Multiple functions already included in the standard edition</w:t>
      </w:r>
    </w:p>
    <w:p w14:paraId="5BF49B87" w14:textId="77777777" w:rsidR="006E7B45" w:rsidRPr="006E7B45" w:rsidRDefault="006E7B45" w:rsidP="006E7B45">
      <w:pPr>
        <w:pStyle w:val="Listenabsatz"/>
        <w:numPr>
          <w:ilvl w:val="0"/>
          <w:numId w:val="42"/>
        </w:numPr>
      </w:pPr>
      <w:r w:rsidRPr="006E7B45">
        <w:t>Reduction of email volume</w:t>
      </w:r>
    </w:p>
    <w:p w14:paraId="51FF768A" w14:textId="77777777" w:rsidR="006E7B45" w:rsidRPr="006E7B45" w:rsidRDefault="006E7B45" w:rsidP="006E7B45">
      <w:pPr>
        <w:pStyle w:val="Listenabsatz"/>
        <w:numPr>
          <w:ilvl w:val="0"/>
          <w:numId w:val="42"/>
        </w:numPr>
      </w:pPr>
      <w:r w:rsidRPr="006E7B45">
        <w:t>Reduction of costs for internal document management</w:t>
      </w:r>
    </w:p>
    <w:p w14:paraId="1890B4AB" w14:textId="19AE524D" w:rsidR="00A61C66" w:rsidRDefault="006E7B45" w:rsidP="00E073BA">
      <w:pPr>
        <w:pStyle w:val="Listenabsatz"/>
        <w:numPr>
          <w:ilvl w:val="0"/>
          <w:numId w:val="42"/>
        </w:numPr>
      </w:pPr>
      <w:r w:rsidRPr="006E7B45">
        <w:lastRenderedPageBreak/>
        <w:t>Reduction of expenses for IT infrastructure</w:t>
      </w:r>
    </w:p>
    <w:p w14:paraId="32063708" w14:textId="4C4EB836" w:rsidR="002D64AB" w:rsidRDefault="002D64AB" w:rsidP="00E073BA">
      <w:pPr>
        <w:pStyle w:val="Listenabsatz"/>
        <w:numPr>
          <w:ilvl w:val="0"/>
          <w:numId w:val="42"/>
        </w:numPr>
      </w:pPr>
      <w:r>
        <w:t>Release valueable internal IT resources in ordert o push digital transformation</w:t>
      </w:r>
    </w:p>
    <w:p w14:paraId="0A10C18E" w14:textId="6E7C64D1" w:rsidR="00C11164" w:rsidRDefault="004C71AF" w:rsidP="00C11164">
      <w:pPr>
        <w:pStyle w:val="berschrift1"/>
      </w:pPr>
      <w:bookmarkStart w:id="15" w:name="_Toc462923027"/>
      <w:r>
        <w:t xml:space="preserve">Responsibilities </w:t>
      </w:r>
      <w:r w:rsidR="00DD76D1">
        <w:t>of</w:t>
      </w:r>
      <w:r>
        <w:t xml:space="preserve"> the </w:t>
      </w:r>
      <w:r w:rsidR="00815D83">
        <w:t>Pharmaceutical C</w:t>
      </w:r>
      <w:r w:rsidR="00DD76D1">
        <w:t>ompany</w:t>
      </w:r>
      <w:bookmarkEnd w:id="15"/>
      <w:r w:rsidR="00C11164">
        <w:br/>
      </w:r>
    </w:p>
    <w:p w14:paraId="4680C46E" w14:textId="41DCF049" w:rsidR="00F46DB1" w:rsidRDefault="00C15DDF" w:rsidP="002C05CE">
      <w:r w:rsidRPr="00C15DDF">
        <w:t xml:space="preserve">Potential customers </w:t>
      </w:r>
      <w:r>
        <w:t xml:space="preserve">of the Fabasoft Cloud </w:t>
      </w:r>
      <w:r w:rsidRPr="00C15DDF">
        <w:t xml:space="preserve">in the </w:t>
      </w:r>
      <w:r>
        <w:t>pharmaceutical industry</w:t>
      </w:r>
      <w:r w:rsidRPr="00C15DDF">
        <w:t xml:space="preserve"> </w:t>
      </w:r>
      <w:r>
        <w:t xml:space="preserve">still have the responsibility to </w:t>
      </w:r>
      <w:r w:rsidRPr="00C15DDF">
        <w:t>validate the system to verify that it fit</w:t>
      </w:r>
      <w:r w:rsidR="006A44FD">
        <w:t>s</w:t>
      </w:r>
      <w:r w:rsidRPr="00C15DDF">
        <w:t xml:space="preserve"> for </w:t>
      </w:r>
      <w:r w:rsidR="006A44FD">
        <w:t xml:space="preserve">the </w:t>
      </w:r>
      <w:r w:rsidRPr="00C15DDF">
        <w:t>intended purpose</w:t>
      </w:r>
      <w:r>
        <w:t>, i. e. a</w:t>
      </w:r>
      <w:r w:rsidR="00F46DB1">
        <w:t xml:space="preserve"> GxP regulated company using Fabasoft’s products and </w:t>
      </w:r>
      <w:r>
        <w:t>services is still responsible to</w:t>
      </w:r>
    </w:p>
    <w:p w14:paraId="54FC9843" w14:textId="59EBAE20" w:rsidR="00F46DB1" w:rsidRDefault="006A44FD" w:rsidP="00CB1787">
      <w:pPr>
        <w:pStyle w:val="Listenabsatz"/>
        <w:numPr>
          <w:ilvl w:val="0"/>
          <w:numId w:val="42"/>
        </w:numPr>
      </w:pPr>
      <w:r>
        <w:t>d</w:t>
      </w:r>
      <w:r w:rsidR="00F46DB1">
        <w:t>ocument t</w:t>
      </w:r>
      <w:r w:rsidR="00B329E5">
        <w:t>he supplier evaluation process</w:t>
      </w:r>
      <w:r>
        <w:t>,</w:t>
      </w:r>
    </w:p>
    <w:p w14:paraId="796A162E" w14:textId="146B3FF5" w:rsidR="00F46DB1" w:rsidRDefault="006A44FD" w:rsidP="00CB1787">
      <w:pPr>
        <w:pStyle w:val="Listenabsatz"/>
        <w:numPr>
          <w:ilvl w:val="0"/>
          <w:numId w:val="42"/>
        </w:numPr>
      </w:pPr>
      <w:r>
        <w:t>p</w:t>
      </w:r>
      <w:r w:rsidR="00F46DB1">
        <w:t>rovide documented evidence that the used products a</w:t>
      </w:r>
      <w:r>
        <w:t>nd services fulfill the require</w:t>
      </w:r>
      <w:r w:rsidR="00F46DB1">
        <w:t>ments for the specified intended use consistently</w:t>
      </w:r>
      <w:r>
        <w:t>,</w:t>
      </w:r>
    </w:p>
    <w:p w14:paraId="75E1ECBA" w14:textId="5B146761" w:rsidR="00F46DB1" w:rsidRDefault="00A23B46" w:rsidP="00CB1787">
      <w:pPr>
        <w:pStyle w:val="Listenabsatz"/>
        <w:numPr>
          <w:ilvl w:val="0"/>
          <w:numId w:val="42"/>
        </w:numPr>
      </w:pPr>
      <w:r>
        <w:t>h</w:t>
      </w:r>
      <w:r w:rsidR="00F46DB1">
        <w:t>ave a written contract covering the outsourced acti</w:t>
      </w:r>
      <w:r>
        <w:t>vities in compliance with appli</w:t>
      </w:r>
      <w:r w:rsidR="00F46DB1">
        <w:t>cable GxP-regulations</w:t>
      </w:r>
      <w:r>
        <w:t xml:space="preserve"> and</w:t>
      </w:r>
    </w:p>
    <w:p w14:paraId="77438BE3" w14:textId="748B1029" w:rsidR="00F46DB1" w:rsidRDefault="00A23B46" w:rsidP="00CB1787">
      <w:pPr>
        <w:pStyle w:val="Listenabsatz"/>
        <w:numPr>
          <w:ilvl w:val="0"/>
          <w:numId w:val="42"/>
        </w:numPr>
      </w:pPr>
      <w:r>
        <w:t>monitor</w:t>
      </w:r>
      <w:r w:rsidR="00F46DB1">
        <w:t xml:space="preserve"> the performance of the service provider</w:t>
      </w:r>
      <w:r w:rsidR="00CB1787">
        <w:t xml:space="preserve"> and the fulfillment of the con</w:t>
      </w:r>
      <w:r w:rsidR="00F46DB1">
        <w:t>tract</w:t>
      </w:r>
      <w:r>
        <w:t>.</w:t>
      </w:r>
    </w:p>
    <w:p w14:paraId="197585E9" w14:textId="77777777" w:rsidR="00096054" w:rsidRDefault="00096054" w:rsidP="00096054">
      <w:pPr>
        <w:spacing w:line="360" w:lineRule="auto"/>
      </w:pPr>
    </w:p>
    <w:p w14:paraId="52E62876" w14:textId="05EE8427" w:rsidR="00AA2A97" w:rsidRDefault="00AA2A97" w:rsidP="00AA2A97">
      <w:pPr>
        <w:pStyle w:val="berschrift1"/>
      </w:pPr>
      <w:bookmarkStart w:id="16" w:name="_Toc462923028"/>
      <w:r>
        <w:t>Certificates</w:t>
      </w:r>
      <w:bookmarkEnd w:id="16"/>
      <w:r>
        <w:br/>
      </w:r>
    </w:p>
    <w:p w14:paraId="527B6FD8" w14:textId="59F0BC68" w:rsidR="00F73C20" w:rsidRDefault="00F73C20" w:rsidP="002C05CE">
      <w:r>
        <w:t>A cloud solution used for file sharing, common editing and workflow management in pharmaceutics should have the following certificates in order to fulfill the high demands in terms of security and compliance:</w:t>
      </w:r>
      <w:r w:rsidR="000F258A">
        <w:br/>
      </w:r>
    </w:p>
    <w:tbl>
      <w:tblPr>
        <w:tblStyle w:val="Tabellenraster"/>
        <w:tblW w:w="0" w:type="auto"/>
        <w:tblLook w:val="04A0" w:firstRow="1" w:lastRow="0" w:firstColumn="1" w:lastColumn="0" w:noHBand="0" w:noVBand="1"/>
      </w:tblPr>
      <w:tblGrid>
        <w:gridCol w:w="4520"/>
        <w:gridCol w:w="4521"/>
      </w:tblGrid>
      <w:tr w:rsidR="00B3540E" w14:paraId="27CFCBE0" w14:textId="77777777" w:rsidTr="00B3540E">
        <w:trPr>
          <w:tblHeader/>
        </w:trPr>
        <w:tc>
          <w:tcPr>
            <w:tcW w:w="4520" w:type="dxa"/>
            <w:shd w:val="clear" w:color="auto" w:fill="1F497D" w:themeFill="text2"/>
          </w:tcPr>
          <w:p w14:paraId="233921C3" w14:textId="2896077C" w:rsidR="00B3540E" w:rsidRPr="00B3540E" w:rsidRDefault="00B3540E" w:rsidP="000D3DA9">
            <w:pPr>
              <w:spacing w:line="360" w:lineRule="auto"/>
              <w:rPr>
                <w:b/>
                <w:color w:val="FFFFFF" w:themeColor="background1"/>
              </w:rPr>
            </w:pPr>
            <w:r w:rsidRPr="00B3540E">
              <w:rPr>
                <w:b/>
                <w:color w:val="FFFFFF" w:themeColor="background1"/>
              </w:rPr>
              <w:t>Certificates</w:t>
            </w:r>
          </w:p>
        </w:tc>
        <w:tc>
          <w:tcPr>
            <w:tcW w:w="4521" w:type="dxa"/>
            <w:shd w:val="clear" w:color="auto" w:fill="1F497D" w:themeFill="text2"/>
          </w:tcPr>
          <w:p w14:paraId="61D0F18E" w14:textId="1EA9E655" w:rsidR="00B3540E" w:rsidRPr="00B3540E" w:rsidRDefault="00B3540E" w:rsidP="000D3DA9">
            <w:pPr>
              <w:spacing w:line="360" w:lineRule="auto"/>
              <w:rPr>
                <w:b/>
                <w:color w:val="FFFFFF" w:themeColor="background1"/>
              </w:rPr>
            </w:pPr>
            <w:r w:rsidRPr="00B3540E">
              <w:rPr>
                <w:b/>
                <w:color w:val="FFFFFF" w:themeColor="background1"/>
              </w:rPr>
              <w:t>Fabasoft Cloud</w:t>
            </w:r>
          </w:p>
        </w:tc>
      </w:tr>
      <w:tr w:rsidR="00B3540E" w14:paraId="1CCE1205" w14:textId="77777777" w:rsidTr="00B3540E">
        <w:trPr>
          <w:tblHeader/>
        </w:trPr>
        <w:tc>
          <w:tcPr>
            <w:tcW w:w="4520" w:type="dxa"/>
          </w:tcPr>
          <w:p w14:paraId="1AE35DAC" w14:textId="1F8D47D5" w:rsidR="00B3540E" w:rsidRPr="002C05CE" w:rsidRDefault="00B3540E" w:rsidP="002C05CE">
            <w:pPr>
              <w:rPr>
                <w:b/>
              </w:rPr>
            </w:pPr>
            <w:r w:rsidRPr="002C05CE">
              <w:rPr>
                <w:b/>
              </w:rPr>
              <w:t>EuroCloud Star Audit</w:t>
            </w:r>
          </w:p>
          <w:p w14:paraId="4D7EEB6A" w14:textId="1E3B8096" w:rsidR="00B3540E" w:rsidRDefault="00B3540E" w:rsidP="004C05DF">
            <w:r>
              <w:t>The EuroCloud Star Audit (ECSA V3.0) certification system is used for the audit and external quality evaluation of Cloud services in Europe. It is based on best practices and is carried out by the renowned organi</w:t>
            </w:r>
            <w:r w:rsidR="004C05DF">
              <w:t>s</w:t>
            </w:r>
            <w:r>
              <w:t xml:space="preserve">ation EuroCloud Europe. The list of auditing criteria comprises full details of the service provider and the actual location of the data, regulations regarding contracts and compliance, security and data protection, infrastructure operations and their related processes as well as the evaluation of the specific service types IaaS, PaaS and SaaS. </w:t>
            </w:r>
          </w:p>
        </w:tc>
        <w:tc>
          <w:tcPr>
            <w:tcW w:w="4521" w:type="dxa"/>
          </w:tcPr>
          <w:p w14:paraId="3A3A8DB4" w14:textId="77777777" w:rsidR="00B3540E" w:rsidRPr="000D3DA9" w:rsidRDefault="00B3540E" w:rsidP="002C05CE">
            <w:r w:rsidRPr="000D3DA9">
              <w:t xml:space="preserve">Fabasoft </w:t>
            </w:r>
            <w:r>
              <w:t xml:space="preserve">Cloud </w:t>
            </w:r>
            <w:r w:rsidRPr="000D3DA9">
              <w:t>received the certification in 2015.</w:t>
            </w:r>
          </w:p>
          <w:p w14:paraId="191A30C7" w14:textId="77777777" w:rsidR="00B3540E" w:rsidRDefault="00B3540E" w:rsidP="002C05CE"/>
        </w:tc>
      </w:tr>
      <w:tr w:rsidR="00B3540E" w14:paraId="2FB9F9AB" w14:textId="77777777" w:rsidTr="00B3540E">
        <w:trPr>
          <w:tblHeader/>
        </w:trPr>
        <w:tc>
          <w:tcPr>
            <w:tcW w:w="4520" w:type="dxa"/>
          </w:tcPr>
          <w:p w14:paraId="0B922A24" w14:textId="27620F03" w:rsidR="00B3540E" w:rsidRPr="002C05CE" w:rsidRDefault="0003220D" w:rsidP="002C05CE">
            <w:pPr>
              <w:rPr>
                <w:b/>
              </w:rPr>
            </w:pPr>
            <w:r w:rsidRPr="002C05CE">
              <w:rPr>
                <w:b/>
              </w:rPr>
              <w:lastRenderedPageBreak/>
              <w:t>ISO 9001 Quality Management Systems – Requirements</w:t>
            </w:r>
          </w:p>
          <w:p w14:paraId="6B1C5112" w14:textId="5D03B08E" w:rsidR="0003220D" w:rsidRPr="00B3540E" w:rsidRDefault="0003220D" w:rsidP="004C05DF">
            <w:r w:rsidRPr="000D3DA9">
              <w:t>ISO 9001 describes the requirements for a quality management system, which an organi</w:t>
            </w:r>
            <w:r w:rsidR="004C05DF">
              <w:t>s</w:t>
            </w:r>
            <w:r w:rsidRPr="000D3DA9">
              <w:t>ation has to fulfill in order to provide products and services which satisfy customer requirements and applicable requirements of authorities.</w:t>
            </w:r>
          </w:p>
        </w:tc>
        <w:tc>
          <w:tcPr>
            <w:tcW w:w="4521" w:type="dxa"/>
          </w:tcPr>
          <w:p w14:paraId="385F0119" w14:textId="782B07BD" w:rsidR="00B3540E" w:rsidRDefault="0003220D" w:rsidP="002C05CE">
            <w:r w:rsidRPr="000D3DA9">
              <w:t xml:space="preserve">Since 2005 the entire Fabasoft company has been certified. </w:t>
            </w:r>
          </w:p>
        </w:tc>
      </w:tr>
      <w:tr w:rsidR="0003220D" w14:paraId="4BFEF037" w14:textId="77777777" w:rsidTr="00B3540E">
        <w:trPr>
          <w:tblHeader/>
        </w:trPr>
        <w:tc>
          <w:tcPr>
            <w:tcW w:w="4520" w:type="dxa"/>
          </w:tcPr>
          <w:p w14:paraId="00DF420E" w14:textId="77777777" w:rsidR="0003220D" w:rsidRPr="002C05CE" w:rsidRDefault="0003220D" w:rsidP="002C05CE">
            <w:pPr>
              <w:rPr>
                <w:b/>
              </w:rPr>
            </w:pPr>
            <w:bookmarkStart w:id="17" w:name="_Toc460234762"/>
            <w:r w:rsidRPr="002C05CE">
              <w:rPr>
                <w:b/>
              </w:rPr>
              <w:t>ISO 20000-1 Service Management System Requirements</w:t>
            </w:r>
            <w:bookmarkEnd w:id="17"/>
          </w:p>
          <w:p w14:paraId="12F33CA7" w14:textId="1B2D243C" w:rsidR="0003220D" w:rsidRPr="0003220D" w:rsidRDefault="0003220D" w:rsidP="002C05CE">
            <w:r w:rsidRPr="000D3DA9">
              <w:t>ISO 20000 is the international standard for IT service management. It is strongly related to the ITIL framework.</w:t>
            </w:r>
          </w:p>
        </w:tc>
        <w:tc>
          <w:tcPr>
            <w:tcW w:w="4521" w:type="dxa"/>
          </w:tcPr>
          <w:p w14:paraId="6A59C510" w14:textId="77777777" w:rsidR="0003220D" w:rsidRPr="000D3DA9" w:rsidRDefault="0003220D" w:rsidP="002C05CE">
            <w:r w:rsidRPr="000D3DA9">
              <w:t>In 2011 Fabasoft received the ISO 20000 certificate for the IT service Folio Cloud (today Fabasoft Cloud) and Folio SaaS.</w:t>
            </w:r>
          </w:p>
          <w:p w14:paraId="186A95BB" w14:textId="77777777" w:rsidR="0003220D" w:rsidRDefault="0003220D" w:rsidP="002C05CE"/>
        </w:tc>
      </w:tr>
      <w:tr w:rsidR="0003220D" w14:paraId="6658ED76" w14:textId="77777777" w:rsidTr="00B3540E">
        <w:trPr>
          <w:tblHeader/>
        </w:trPr>
        <w:tc>
          <w:tcPr>
            <w:tcW w:w="4520" w:type="dxa"/>
          </w:tcPr>
          <w:p w14:paraId="23A88F06" w14:textId="411EE53A" w:rsidR="0003220D" w:rsidRPr="002C05CE" w:rsidRDefault="00004A34" w:rsidP="002C05CE">
            <w:pPr>
              <w:rPr>
                <w:b/>
              </w:rPr>
            </w:pPr>
            <w:r w:rsidRPr="002C05CE">
              <w:rPr>
                <w:b/>
              </w:rPr>
              <w:t>ISO 27001 – Information</w:t>
            </w:r>
            <w:r w:rsidR="002C05CE">
              <w:rPr>
                <w:b/>
              </w:rPr>
              <w:t xml:space="preserve"> Security</w:t>
            </w:r>
          </w:p>
          <w:p w14:paraId="13E4BA0E" w14:textId="5DDF3D48" w:rsidR="00004A34" w:rsidRPr="00004A34" w:rsidRDefault="00004A34" w:rsidP="002C05CE">
            <w:r w:rsidRPr="000D3DA9">
              <w:t>ISO 27001 is the international standard for information security.</w:t>
            </w:r>
          </w:p>
        </w:tc>
        <w:tc>
          <w:tcPr>
            <w:tcW w:w="4521" w:type="dxa"/>
          </w:tcPr>
          <w:p w14:paraId="48C2703F" w14:textId="17BFD9F6" w:rsidR="0003220D" w:rsidRPr="000D3DA9" w:rsidRDefault="00004A34" w:rsidP="004C05DF">
            <w:r w:rsidRPr="000D3DA9">
              <w:t xml:space="preserve">Since 2008 Fabasoft has been certified by the ISO 27001 standard. In 2015 the audit included also the ISO 27018 – </w:t>
            </w:r>
            <w:r w:rsidR="004C05DF">
              <w:t>c</w:t>
            </w:r>
            <w:r w:rsidRPr="000D3DA9">
              <w:t>ode of practice for protection of personally identifiable information (PII) in public clouds acting as PII processors.</w:t>
            </w:r>
          </w:p>
        </w:tc>
      </w:tr>
      <w:tr w:rsidR="00004A34" w14:paraId="67076FCB" w14:textId="77777777" w:rsidTr="00B3540E">
        <w:trPr>
          <w:tblHeader/>
        </w:trPr>
        <w:tc>
          <w:tcPr>
            <w:tcW w:w="4520" w:type="dxa"/>
          </w:tcPr>
          <w:p w14:paraId="217FBCA0" w14:textId="77777777" w:rsidR="00004A34" w:rsidRPr="002C05CE" w:rsidRDefault="00F40CA1" w:rsidP="002C05CE">
            <w:pPr>
              <w:rPr>
                <w:b/>
              </w:rPr>
            </w:pPr>
            <w:r w:rsidRPr="002C05CE">
              <w:rPr>
                <w:b/>
              </w:rPr>
              <w:t>Certified Cloud Services (TÜV Rheinland)</w:t>
            </w:r>
          </w:p>
          <w:p w14:paraId="40C0C8CC" w14:textId="77777777" w:rsidR="0009309C" w:rsidRPr="000D3DA9" w:rsidRDefault="0009309C" w:rsidP="002C05CE">
            <w:pPr>
              <w:pStyle w:val="Listenabsatz"/>
              <w:numPr>
                <w:ilvl w:val="0"/>
                <w:numId w:val="24"/>
              </w:numPr>
            </w:pPr>
            <w:r w:rsidRPr="000D3DA9">
              <w:t>Secure data hosting</w:t>
            </w:r>
          </w:p>
          <w:p w14:paraId="3EE42183" w14:textId="77777777" w:rsidR="0009309C" w:rsidRPr="000D3DA9" w:rsidRDefault="0009309C" w:rsidP="002C05CE">
            <w:pPr>
              <w:pStyle w:val="Listenabsatz"/>
              <w:numPr>
                <w:ilvl w:val="0"/>
                <w:numId w:val="24"/>
              </w:numPr>
            </w:pPr>
            <w:r w:rsidRPr="000D3DA9">
              <w:t>Secure data transmission</w:t>
            </w:r>
          </w:p>
          <w:p w14:paraId="50E66B8A" w14:textId="77777777" w:rsidR="0009309C" w:rsidRPr="000D3DA9" w:rsidRDefault="0009309C" w:rsidP="002C05CE">
            <w:pPr>
              <w:pStyle w:val="Listenabsatz"/>
              <w:numPr>
                <w:ilvl w:val="0"/>
                <w:numId w:val="24"/>
              </w:numPr>
            </w:pPr>
            <w:r w:rsidRPr="000D3DA9">
              <w:t>Secure operation of business-critical applications</w:t>
            </w:r>
          </w:p>
          <w:p w14:paraId="32B87BE1" w14:textId="335F4A02" w:rsidR="0009309C" w:rsidRPr="000D3DA9" w:rsidRDefault="0009309C" w:rsidP="002C05CE">
            <w:pPr>
              <w:pStyle w:val="Listenabsatz"/>
              <w:numPr>
                <w:ilvl w:val="0"/>
                <w:numId w:val="24"/>
              </w:numPr>
            </w:pPr>
            <w:r w:rsidRPr="000D3DA9">
              <w:t>Quality and availability of service provision − high service continuity, high on-demand scalability</w:t>
            </w:r>
          </w:p>
          <w:p w14:paraId="6A752C0B" w14:textId="69A6F35C" w:rsidR="0009309C" w:rsidRPr="000D3DA9" w:rsidRDefault="0009309C" w:rsidP="002C05CE">
            <w:pPr>
              <w:pStyle w:val="Listenabsatz"/>
              <w:numPr>
                <w:ilvl w:val="0"/>
                <w:numId w:val="24"/>
              </w:numPr>
            </w:pPr>
            <w:r w:rsidRPr="000D3DA9">
              <w:t>Secure, high-quality data access and data storage − secure login methods and authentication system for data access control on network level</w:t>
            </w:r>
          </w:p>
          <w:p w14:paraId="466FFB0E" w14:textId="6BB5109E" w:rsidR="00F40CA1" w:rsidRPr="0009309C" w:rsidRDefault="0009309C" w:rsidP="002C05CE">
            <w:pPr>
              <w:pStyle w:val="Listenabsatz"/>
              <w:numPr>
                <w:ilvl w:val="0"/>
                <w:numId w:val="24"/>
              </w:numPr>
            </w:pPr>
            <w:r w:rsidRPr="000D3DA9">
              <w:t>State-of-the-art protection against attacks</w:t>
            </w:r>
          </w:p>
        </w:tc>
        <w:tc>
          <w:tcPr>
            <w:tcW w:w="4521" w:type="dxa"/>
          </w:tcPr>
          <w:p w14:paraId="4A0F5C4D" w14:textId="74DD0B50" w:rsidR="0009309C" w:rsidRPr="000D3DA9" w:rsidRDefault="0009309C" w:rsidP="002C05CE">
            <w:r w:rsidRPr="000D3DA9">
              <w:t xml:space="preserve">The TÜV Rheinland i-sec GmbH certification confirms that the Fabasoft Cloud GmbH services Fabasoft Cloud, Fabasoft Folio SaaS, HeadsUp! User Engagement and Mindbreeze InSite meet the objectives </w:t>
            </w:r>
            <w:r w:rsidR="00E46E07">
              <w:t>to</w:t>
            </w:r>
            <w:r>
              <w:t xml:space="preserve"> the left </w:t>
            </w:r>
            <w:r w:rsidRPr="000D3DA9">
              <w:t>for cloud infra</w:t>
            </w:r>
            <w:r>
              <w:t>structure and cloud application.</w:t>
            </w:r>
          </w:p>
          <w:p w14:paraId="50FF23A6" w14:textId="77777777" w:rsidR="00004A34" w:rsidRPr="000D3DA9" w:rsidRDefault="00004A34" w:rsidP="002C05CE"/>
        </w:tc>
      </w:tr>
      <w:tr w:rsidR="00997CEF" w14:paraId="64393DE1" w14:textId="77777777" w:rsidTr="00B3540E">
        <w:trPr>
          <w:tblHeader/>
        </w:trPr>
        <w:tc>
          <w:tcPr>
            <w:tcW w:w="4520" w:type="dxa"/>
          </w:tcPr>
          <w:p w14:paraId="5D6ADAD5" w14:textId="77777777" w:rsidR="00997CEF" w:rsidRPr="002C05CE" w:rsidRDefault="00997CEF" w:rsidP="002C05CE">
            <w:pPr>
              <w:rPr>
                <w:b/>
              </w:rPr>
            </w:pPr>
            <w:r w:rsidRPr="002C05CE">
              <w:rPr>
                <w:b/>
              </w:rPr>
              <w:lastRenderedPageBreak/>
              <w:t>ISAE 3402 Type 2</w:t>
            </w:r>
          </w:p>
          <w:p w14:paraId="46EB7C00" w14:textId="23D04198" w:rsidR="00997CEF" w:rsidRPr="00997CEF" w:rsidRDefault="00997CEF" w:rsidP="002C05CE">
            <w:r w:rsidRPr="000D3DA9">
              <w:t>The International Standard on Assurance Engagements (ISAE 3402) is the international testing standard that assesses the effectiveness of internal control systems (IKS) of service providing organizations. The standard was created by the International Auditing and Assurance Standards Board (IAASB).</w:t>
            </w:r>
          </w:p>
        </w:tc>
        <w:tc>
          <w:tcPr>
            <w:tcW w:w="4521" w:type="dxa"/>
          </w:tcPr>
          <w:p w14:paraId="5300E40A" w14:textId="2123EA04" w:rsidR="00997CEF" w:rsidRPr="000D3DA9" w:rsidRDefault="00C55C98" w:rsidP="002C05CE">
            <w:r w:rsidRPr="00C55C98">
              <w:t>Up until 2011 Fabasoft wa</w:t>
            </w:r>
            <w:r>
              <w:t>s tested according to the AICPA</w:t>
            </w:r>
            <w:r w:rsidRPr="00C55C98">
              <w:t>s reporting standard SAS 70 Type 2, afterwards according to ISAE.</w:t>
            </w:r>
          </w:p>
        </w:tc>
      </w:tr>
      <w:tr w:rsidR="001F67C1" w14:paraId="39AAB3E0" w14:textId="77777777" w:rsidTr="00B3540E">
        <w:trPr>
          <w:tblHeader/>
        </w:trPr>
        <w:tc>
          <w:tcPr>
            <w:tcW w:w="4520" w:type="dxa"/>
          </w:tcPr>
          <w:p w14:paraId="51044E6A" w14:textId="77777777" w:rsidR="001F67C1" w:rsidRDefault="001F67C1" w:rsidP="002C05CE">
            <w:pPr>
              <w:rPr>
                <w:b/>
              </w:rPr>
            </w:pPr>
            <w:r w:rsidRPr="001F67C1">
              <w:rPr>
                <w:b/>
              </w:rPr>
              <w:t>IDW PS 880</w:t>
            </w:r>
          </w:p>
          <w:p w14:paraId="2C64A227" w14:textId="6C271EF0" w:rsidR="001F67C1" w:rsidRPr="001F67C1" w:rsidRDefault="001F67C1" w:rsidP="002C05CE">
            <w:r w:rsidRPr="001F67C1">
              <w:t>The KPMG Advisory GmbH examined the Fabasoft Cloud regarding auditability by Austrian, German and Swiss commercial and tax law and issued the certificate referred to IDW PS 880. The Fabasoft Cloud corresponds thus in Germany, Austria and Switzerland the required storage rules (GAAP-compliant archiving)</w:t>
            </w:r>
            <w:r>
              <w:t>.</w:t>
            </w:r>
          </w:p>
        </w:tc>
        <w:tc>
          <w:tcPr>
            <w:tcW w:w="4521" w:type="dxa"/>
          </w:tcPr>
          <w:p w14:paraId="2BAD7D3F" w14:textId="7A3050E7" w:rsidR="001F67C1" w:rsidRPr="00C55C98" w:rsidRDefault="001F67C1" w:rsidP="002C05CE">
            <w:r>
              <w:t>Since April 2016 the Fabasoft Cloud is certified according to IDW PS 880.</w:t>
            </w:r>
          </w:p>
        </w:tc>
      </w:tr>
    </w:tbl>
    <w:p w14:paraId="274573ED" w14:textId="77777777" w:rsidR="00557712" w:rsidRDefault="00557712">
      <w:pPr>
        <w:spacing w:before="0" w:after="200" w:line="276" w:lineRule="auto"/>
        <w:rPr>
          <w:rFonts w:eastAsia="Times New Roman" w:cs="Times New Roman"/>
          <w:bCs/>
          <w:color w:val="003D76"/>
          <w:sz w:val="24"/>
          <w:szCs w:val="24"/>
          <w:lang w:eastAsia="de-DE"/>
        </w:rPr>
      </w:pPr>
    </w:p>
    <w:p w14:paraId="41BC0812" w14:textId="32B13034" w:rsidR="00A624ED" w:rsidRDefault="00A624ED" w:rsidP="00A624ED">
      <w:pPr>
        <w:pStyle w:val="berschrift1"/>
      </w:pPr>
      <w:bookmarkStart w:id="18" w:name="_Toc462923029"/>
      <w:r>
        <w:t>GxP Compliance</w:t>
      </w:r>
      <w:bookmarkEnd w:id="18"/>
      <w:r>
        <w:br/>
      </w:r>
    </w:p>
    <w:p w14:paraId="658E5F3F" w14:textId="0EF3E734" w:rsidR="00A624ED" w:rsidRDefault="0032354F" w:rsidP="0032354F">
      <w:pPr>
        <w:spacing w:line="360" w:lineRule="auto"/>
      </w:pPr>
      <w:r>
        <w:t xml:space="preserve">The audit of the Fabasoft Cloud according to </w:t>
      </w:r>
      <w:r w:rsidR="00A7258A">
        <w:t>the regu</w:t>
      </w:r>
      <w:r>
        <w:t>l</w:t>
      </w:r>
      <w:r w:rsidR="00A7258A">
        <w:t>a</w:t>
      </w:r>
      <w:r>
        <w:t>tions of EU GMP Annex 11 included:</w:t>
      </w:r>
    </w:p>
    <w:p w14:paraId="0C383F79" w14:textId="6EA62F4E" w:rsidR="00C77F99" w:rsidRDefault="00557712" w:rsidP="0066202C">
      <w:pPr>
        <w:pStyle w:val="Listenabsatz"/>
        <w:numPr>
          <w:ilvl w:val="0"/>
          <w:numId w:val="24"/>
        </w:numPr>
        <w:spacing w:line="320" w:lineRule="exact"/>
        <w:ind w:left="714" w:hanging="357"/>
      </w:pPr>
      <w:r>
        <w:t>Overall P</w:t>
      </w:r>
      <w:r w:rsidR="00C77F99">
        <w:t>rocesses</w:t>
      </w:r>
      <w:r>
        <w:t>:</w:t>
      </w:r>
    </w:p>
    <w:p w14:paraId="64E7B5A9" w14:textId="77777777" w:rsidR="00C77F99" w:rsidRDefault="00C77F99" w:rsidP="0066202C">
      <w:pPr>
        <w:pStyle w:val="Listenabsatz"/>
        <w:numPr>
          <w:ilvl w:val="1"/>
          <w:numId w:val="24"/>
        </w:numPr>
        <w:spacing w:line="320" w:lineRule="exact"/>
      </w:pPr>
      <w:r>
        <w:t>General Aspects</w:t>
      </w:r>
    </w:p>
    <w:p w14:paraId="2830F0C8" w14:textId="1EC230C1" w:rsidR="00C77F99" w:rsidRDefault="00840296" w:rsidP="0066202C">
      <w:pPr>
        <w:pStyle w:val="Listenabsatz"/>
        <w:numPr>
          <w:ilvl w:val="1"/>
          <w:numId w:val="24"/>
        </w:numPr>
        <w:spacing w:line="320" w:lineRule="exact"/>
      </w:pPr>
      <w:r>
        <w:t>Organis</w:t>
      </w:r>
      <w:r w:rsidR="00C77F99">
        <w:t>ation, Personnel and Qualification</w:t>
      </w:r>
    </w:p>
    <w:p w14:paraId="78920112" w14:textId="77777777" w:rsidR="00C77F99" w:rsidRDefault="00C77F99" w:rsidP="0066202C">
      <w:pPr>
        <w:pStyle w:val="Listenabsatz"/>
        <w:numPr>
          <w:ilvl w:val="1"/>
          <w:numId w:val="24"/>
        </w:numPr>
        <w:spacing w:line="320" w:lineRule="exact"/>
      </w:pPr>
      <w:r w:rsidRPr="004F5013">
        <w:t>Quality Management System</w:t>
      </w:r>
    </w:p>
    <w:p w14:paraId="143FF645" w14:textId="77777777" w:rsidR="00C77F99" w:rsidRDefault="00C77F99" w:rsidP="0066202C">
      <w:pPr>
        <w:pStyle w:val="Listenabsatz"/>
        <w:numPr>
          <w:ilvl w:val="1"/>
          <w:numId w:val="24"/>
        </w:numPr>
        <w:spacing w:line="320" w:lineRule="exact"/>
      </w:pPr>
      <w:r w:rsidRPr="004F5013">
        <w:t>Documentation Control</w:t>
      </w:r>
    </w:p>
    <w:p w14:paraId="74D769BD" w14:textId="77777777" w:rsidR="00C77F99" w:rsidRDefault="00C77F99" w:rsidP="0066202C">
      <w:pPr>
        <w:pStyle w:val="Listenabsatz"/>
        <w:numPr>
          <w:ilvl w:val="1"/>
          <w:numId w:val="24"/>
        </w:numPr>
        <w:spacing w:line="320" w:lineRule="exact"/>
      </w:pPr>
      <w:r w:rsidRPr="004F5013">
        <w:t>Security</w:t>
      </w:r>
    </w:p>
    <w:p w14:paraId="07006C1A" w14:textId="77777777" w:rsidR="00C77F99" w:rsidRPr="004F5013" w:rsidRDefault="00C77F99" w:rsidP="0066202C">
      <w:pPr>
        <w:pStyle w:val="Listenabsatz"/>
        <w:numPr>
          <w:ilvl w:val="1"/>
          <w:numId w:val="24"/>
        </w:numPr>
        <w:spacing w:line="320" w:lineRule="exact"/>
      </w:pPr>
      <w:r w:rsidRPr="004F5013">
        <w:t>Service Provider Assessment</w:t>
      </w:r>
    </w:p>
    <w:p w14:paraId="363FDF69" w14:textId="00D29A15" w:rsidR="00C77F99" w:rsidRDefault="00C77F99" w:rsidP="0066202C">
      <w:pPr>
        <w:pStyle w:val="Listenabsatz"/>
        <w:numPr>
          <w:ilvl w:val="0"/>
          <w:numId w:val="24"/>
        </w:numPr>
        <w:spacing w:line="320" w:lineRule="exact"/>
        <w:ind w:left="714" w:hanging="357"/>
      </w:pPr>
      <w:r>
        <w:t>Managed Operations</w:t>
      </w:r>
      <w:r w:rsidR="00557712">
        <w:t>:</w:t>
      </w:r>
    </w:p>
    <w:p w14:paraId="4B6AA14D" w14:textId="2E7D205E" w:rsidR="00C77F99" w:rsidRDefault="00C77F99" w:rsidP="0066202C">
      <w:pPr>
        <w:pStyle w:val="Listenabsatz"/>
        <w:numPr>
          <w:ilvl w:val="1"/>
          <w:numId w:val="24"/>
        </w:numPr>
        <w:spacing w:line="320" w:lineRule="exact"/>
      </w:pPr>
      <w:r w:rsidRPr="00275105">
        <w:t>General Service Desk</w:t>
      </w:r>
    </w:p>
    <w:p w14:paraId="54BADEDD" w14:textId="114F84C0" w:rsidR="00C77F99" w:rsidRDefault="00C77F99" w:rsidP="0066202C">
      <w:pPr>
        <w:pStyle w:val="Listenabsatz"/>
        <w:numPr>
          <w:ilvl w:val="1"/>
          <w:numId w:val="24"/>
        </w:numPr>
        <w:spacing w:line="320" w:lineRule="exact"/>
      </w:pPr>
      <w:r w:rsidRPr="00275105">
        <w:t xml:space="preserve">Operational </w:t>
      </w:r>
      <w:proofErr w:type="gramStart"/>
      <w:r w:rsidRPr="00275105">
        <w:t>Change Management</w:t>
      </w:r>
      <w:proofErr w:type="gramEnd"/>
    </w:p>
    <w:p w14:paraId="2004A099" w14:textId="32A481FB" w:rsidR="00C77F99" w:rsidRDefault="00C77F99" w:rsidP="0066202C">
      <w:pPr>
        <w:pStyle w:val="Listenabsatz"/>
        <w:numPr>
          <w:ilvl w:val="1"/>
          <w:numId w:val="24"/>
        </w:numPr>
        <w:spacing w:line="320" w:lineRule="exact"/>
      </w:pPr>
      <w:r w:rsidRPr="00275105">
        <w:t>Configuration Management</w:t>
      </w:r>
    </w:p>
    <w:p w14:paraId="6C91DF07" w14:textId="6C1B57EB" w:rsidR="00C77F99" w:rsidRDefault="00C77F99" w:rsidP="0066202C">
      <w:pPr>
        <w:pStyle w:val="Listenabsatz"/>
        <w:numPr>
          <w:ilvl w:val="1"/>
          <w:numId w:val="24"/>
        </w:numPr>
        <w:spacing w:line="320" w:lineRule="exact"/>
      </w:pPr>
      <w:r w:rsidRPr="00275105">
        <w:t>System Maintenance and Support</w:t>
      </w:r>
    </w:p>
    <w:p w14:paraId="3325FA64" w14:textId="7008B520" w:rsidR="00C77F99" w:rsidRDefault="00C77F99" w:rsidP="0066202C">
      <w:pPr>
        <w:pStyle w:val="Listenabsatz"/>
        <w:numPr>
          <w:ilvl w:val="1"/>
          <w:numId w:val="24"/>
        </w:numPr>
        <w:spacing w:line="320" w:lineRule="exact"/>
      </w:pPr>
      <w:r w:rsidRPr="00275105">
        <w:t>Peripherals</w:t>
      </w:r>
    </w:p>
    <w:p w14:paraId="5303A911" w14:textId="1919760D" w:rsidR="00C77F99" w:rsidRDefault="00C77F99" w:rsidP="0066202C">
      <w:pPr>
        <w:pStyle w:val="Listenabsatz"/>
        <w:numPr>
          <w:ilvl w:val="0"/>
          <w:numId w:val="24"/>
        </w:numPr>
        <w:spacing w:line="320" w:lineRule="exact"/>
      </w:pPr>
      <w:r w:rsidRPr="00275105">
        <w:t>System Development and Project Management</w:t>
      </w:r>
      <w:r w:rsidR="00557712">
        <w:t>:</w:t>
      </w:r>
    </w:p>
    <w:p w14:paraId="4E79C9BE" w14:textId="77777777" w:rsidR="00C77F99" w:rsidRDefault="00C77F99" w:rsidP="0066202C">
      <w:pPr>
        <w:pStyle w:val="Listenabsatz"/>
        <w:numPr>
          <w:ilvl w:val="1"/>
          <w:numId w:val="24"/>
        </w:numPr>
        <w:spacing w:line="320" w:lineRule="exact"/>
      </w:pPr>
      <w:r w:rsidRPr="00275105">
        <w:t>General Development Aspects</w:t>
      </w:r>
    </w:p>
    <w:p w14:paraId="313D4C53" w14:textId="77777777" w:rsidR="00C77F99" w:rsidRDefault="00C77F99" w:rsidP="0066202C">
      <w:pPr>
        <w:pStyle w:val="Listenabsatz"/>
        <w:numPr>
          <w:ilvl w:val="1"/>
          <w:numId w:val="24"/>
        </w:numPr>
        <w:spacing w:line="320" w:lineRule="exact"/>
      </w:pPr>
      <w:r w:rsidRPr="00275105">
        <w:t>Software Lifecycle and Project Management</w:t>
      </w:r>
    </w:p>
    <w:p w14:paraId="17A5DEE0" w14:textId="77777777" w:rsidR="00C77F99" w:rsidRDefault="00C77F99" w:rsidP="0066202C">
      <w:pPr>
        <w:pStyle w:val="Listenabsatz"/>
        <w:numPr>
          <w:ilvl w:val="1"/>
          <w:numId w:val="24"/>
        </w:numPr>
        <w:spacing w:line="320" w:lineRule="exact"/>
      </w:pPr>
      <w:r w:rsidRPr="00275105">
        <w:lastRenderedPageBreak/>
        <w:t>Specify and Design</w:t>
      </w:r>
    </w:p>
    <w:p w14:paraId="5163FF3B" w14:textId="77777777" w:rsidR="00C77F99" w:rsidRDefault="00C77F99" w:rsidP="0066202C">
      <w:pPr>
        <w:pStyle w:val="Listenabsatz"/>
        <w:numPr>
          <w:ilvl w:val="1"/>
          <w:numId w:val="24"/>
        </w:numPr>
        <w:spacing w:line="320" w:lineRule="exact"/>
      </w:pPr>
      <w:r w:rsidRPr="00275105">
        <w:t>Build and Test</w:t>
      </w:r>
    </w:p>
    <w:p w14:paraId="04435BB2" w14:textId="77777777" w:rsidR="00C77F99" w:rsidRDefault="00C77F99" w:rsidP="0066202C">
      <w:pPr>
        <w:pStyle w:val="Listenabsatz"/>
        <w:numPr>
          <w:ilvl w:val="1"/>
          <w:numId w:val="24"/>
        </w:numPr>
        <w:spacing w:line="320" w:lineRule="exact"/>
      </w:pPr>
      <w:r w:rsidRPr="00275105">
        <w:t>Implement and Use</w:t>
      </w:r>
    </w:p>
    <w:p w14:paraId="2721664D" w14:textId="77777777" w:rsidR="00C77F99" w:rsidRDefault="00C77F99" w:rsidP="0066202C">
      <w:pPr>
        <w:pStyle w:val="Listenabsatz"/>
        <w:numPr>
          <w:ilvl w:val="1"/>
          <w:numId w:val="24"/>
        </w:numPr>
        <w:spacing w:line="320" w:lineRule="exact"/>
      </w:pPr>
      <w:r w:rsidRPr="00275105">
        <w:t>Project Change and Configuration Management</w:t>
      </w:r>
    </w:p>
    <w:p w14:paraId="475E5903" w14:textId="77777777" w:rsidR="00C77F99" w:rsidRDefault="00C77F99" w:rsidP="0066202C">
      <w:pPr>
        <w:pStyle w:val="Listenabsatz"/>
        <w:numPr>
          <w:ilvl w:val="1"/>
          <w:numId w:val="24"/>
        </w:numPr>
        <w:spacing w:line="320" w:lineRule="exact"/>
      </w:pPr>
      <w:r w:rsidRPr="00275105">
        <w:t>Infrastructure Management</w:t>
      </w:r>
    </w:p>
    <w:p w14:paraId="79872887" w14:textId="3E3F57FC" w:rsidR="0032354F" w:rsidRDefault="00C77F99" w:rsidP="0066202C">
      <w:pPr>
        <w:pStyle w:val="Listenabsatz"/>
        <w:numPr>
          <w:ilvl w:val="1"/>
          <w:numId w:val="24"/>
        </w:numPr>
        <w:spacing w:line="320" w:lineRule="exact"/>
      </w:pPr>
      <w:r w:rsidRPr="00275105">
        <w:t>Quality Planning and Reporting</w:t>
      </w:r>
    </w:p>
    <w:p w14:paraId="3DF968FE" w14:textId="700BB96D" w:rsidR="00A7258A" w:rsidRDefault="004C05DF" w:rsidP="0060066D">
      <w:r>
        <w:br/>
      </w:r>
      <w:r w:rsidRPr="004C05DF">
        <w:t>The audit from August 2016 fully certifies that pharmaceutical companies using the Fabasoft Cloud are capable to fulfill all criteria for the use of computerized systems defined in EU GMP Annex 11.</w:t>
      </w:r>
    </w:p>
    <w:p w14:paraId="193C8A43" w14:textId="0FEC057D" w:rsidR="007F6FEA" w:rsidRDefault="007F6FEA">
      <w:pPr>
        <w:spacing w:before="0" w:after="200" w:line="276" w:lineRule="auto"/>
        <w:rPr>
          <w:rFonts w:eastAsia="Times New Roman" w:cs="Times New Roman"/>
          <w:bCs/>
          <w:color w:val="003D76"/>
          <w:sz w:val="24"/>
          <w:szCs w:val="24"/>
          <w:lang w:eastAsia="de-DE"/>
        </w:rPr>
      </w:pPr>
    </w:p>
    <w:p w14:paraId="62A351CB" w14:textId="6F9A9B16" w:rsidR="00C77F99" w:rsidRDefault="00920D3C" w:rsidP="009A69BD">
      <w:pPr>
        <w:pStyle w:val="berschrift1"/>
      </w:pPr>
      <w:bookmarkStart w:id="19" w:name="_Toc462923030"/>
      <w:r>
        <w:t xml:space="preserve">Comparison </w:t>
      </w:r>
      <w:r w:rsidR="009A69BD">
        <w:t xml:space="preserve">EU GMP </w:t>
      </w:r>
      <w:r>
        <w:t>Annex 11 &amp;</w:t>
      </w:r>
      <w:r w:rsidR="009A69BD">
        <w:t xml:space="preserve"> FDA 21 CFR Part 11</w:t>
      </w:r>
      <w:bookmarkEnd w:id="19"/>
    </w:p>
    <w:p w14:paraId="53E30CEF" w14:textId="77777777" w:rsidR="002D6602" w:rsidRPr="002D6602" w:rsidRDefault="002D6602" w:rsidP="002D6602"/>
    <w:p w14:paraId="298C362E" w14:textId="36AD9EEC" w:rsidR="002D6602" w:rsidRDefault="002D6602" w:rsidP="0060066D">
      <w:r>
        <w:t xml:space="preserve">A comparison between </w:t>
      </w:r>
      <w:r w:rsidR="00BA5B8E">
        <w:t xml:space="preserve">the European Union’s Annex 11 of GMP rules and </w:t>
      </w:r>
      <w:r>
        <w:t>FDA’s 21 CFR Part 11 shows, that both guidlines cover the same topics. However, there e</w:t>
      </w:r>
      <w:r w:rsidR="005D69A5">
        <w:t>xist some dif</w:t>
      </w:r>
      <w:r w:rsidR="00D04C84">
        <w:t>f</w:t>
      </w:r>
      <w:r w:rsidR="005D69A5">
        <w:t>erences as follows. Only those sections are mentioned, where one of the</w:t>
      </w:r>
      <w:r w:rsidR="007263BC">
        <w:t xml:space="preserve"> guidelines has no substantial</w:t>
      </w:r>
      <w:r w:rsidR="005D69A5">
        <w:t xml:space="preserve"> equivalent.</w:t>
      </w:r>
    </w:p>
    <w:p w14:paraId="77064309" w14:textId="77777777" w:rsidR="00DB124B" w:rsidRDefault="00DB124B" w:rsidP="002D6602">
      <w:pPr>
        <w:spacing w:line="360" w:lineRule="auto"/>
      </w:pPr>
    </w:p>
    <w:p w14:paraId="4646AC47" w14:textId="3E3B565D" w:rsidR="00DB124B" w:rsidRPr="00DB124B" w:rsidRDefault="00DB124B" w:rsidP="002D6602">
      <w:pPr>
        <w:spacing w:line="360" w:lineRule="auto"/>
        <w:rPr>
          <w:b/>
        </w:rPr>
      </w:pPr>
      <w:r w:rsidRPr="00DB124B">
        <w:rPr>
          <w:b/>
        </w:rPr>
        <w:t>Comparison from EU GMP Annex 11 to FDA 21 CFR Part 11:</w:t>
      </w:r>
    </w:p>
    <w:tbl>
      <w:tblPr>
        <w:tblStyle w:val="Tabellenraster"/>
        <w:tblW w:w="0" w:type="auto"/>
        <w:tblLook w:val="04A0" w:firstRow="1" w:lastRow="0" w:firstColumn="1" w:lastColumn="0" w:noHBand="0" w:noVBand="1"/>
      </w:tblPr>
      <w:tblGrid>
        <w:gridCol w:w="1428"/>
        <w:gridCol w:w="3844"/>
        <w:gridCol w:w="3845"/>
      </w:tblGrid>
      <w:tr w:rsidR="00AB5DC8" w:rsidRPr="00B3540E" w14:paraId="68B2E09D" w14:textId="77777777" w:rsidTr="00AB5DC8">
        <w:trPr>
          <w:tblHeader/>
        </w:trPr>
        <w:tc>
          <w:tcPr>
            <w:tcW w:w="1428" w:type="dxa"/>
            <w:shd w:val="clear" w:color="auto" w:fill="1F497D" w:themeFill="text2"/>
          </w:tcPr>
          <w:p w14:paraId="7466B2A5" w14:textId="74A53D21" w:rsidR="00AB5DC8" w:rsidRPr="00B3540E" w:rsidRDefault="00AB5DC8" w:rsidP="00AB5DC8">
            <w:pPr>
              <w:spacing w:line="360" w:lineRule="auto"/>
              <w:jc w:val="center"/>
              <w:rPr>
                <w:b/>
                <w:color w:val="FFFFFF" w:themeColor="background1"/>
              </w:rPr>
            </w:pPr>
            <w:r>
              <w:rPr>
                <w:b/>
                <w:color w:val="FFFFFF" w:themeColor="background1"/>
              </w:rPr>
              <w:t>Annex 11</w:t>
            </w:r>
            <w:r>
              <w:rPr>
                <w:b/>
                <w:color w:val="FFFFFF" w:themeColor="background1"/>
              </w:rPr>
              <w:br/>
              <w:t>Section No.</w:t>
            </w:r>
          </w:p>
        </w:tc>
        <w:tc>
          <w:tcPr>
            <w:tcW w:w="3844" w:type="dxa"/>
            <w:shd w:val="clear" w:color="auto" w:fill="1F497D" w:themeFill="text2"/>
          </w:tcPr>
          <w:p w14:paraId="013F6C09" w14:textId="7D5724C1" w:rsidR="00AB5DC8" w:rsidRPr="00B3540E" w:rsidRDefault="00AB5DC8" w:rsidP="00AB5DC8">
            <w:pPr>
              <w:spacing w:line="360" w:lineRule="auto"/>
              <w:jc w:val="center"/>
              <w:rPr>
                <w:b/>
                <w:color w:val="FFFFFF" w:themeColor="background1"/>
              </w:rPr>
            </w:pPr>
            <w:r w:rsidRPr="00AB5DC8">
              <w:rPr>
                <w:b/>
                <w:color w:val="FFFFFF" w:themeColor="background1"/>
              </w:rPr>
              <w:t>EU GMP Annex 11</w:t>
            </w:r>
            <w:r>
              <w:rPr>
                <w:b/>
                <w:color w:val="FFFFFF" w:themeColor="background1"/>
              </w:rPr>
              <w:t>:</w:t>
            </w:r>
            <w:r>
              <w:rPr>
                <w:b/>
                <w:color w:val="FFFFFF" w:themeColor="background1"/>
              </w:rPr>
              <w:br/>
              <w:t>Title</w:t>
            </w:r>
          </w:p>
        </w:tc>
        <w:tc>
          <w:tcPr>
            <w:tcW w:w="3845" w:type="dxa"/>
            <w:shd w:val="clear" w:color="auto" w:fill="1F497D" w:themeFill="text2"/>
          </w:tcPr>
          <w:p w14:paraId="792056E7" w14:textId="120B9218" w:rsidR="00AB5DC8" w:rsidRPr="00B3540E" w:rsidRDefault="00AB5DC8" w:rsidP="00AB5DC8">
            <w:pPr>
              <w:spacing w:line="360" w:lineRule="auto"/>
              <w:jc w:val="center"/>
              <w:rPr>
                <w:b/>
                <w:color w:val="FFFFFF" w:themeColor="background1"/>
              </w:rPr>
            </w:pPr>
            <w:r w:rsidRPr="00AB5DC8">
              <w:rPr>
                <w:b/>
                <w:color w:val="FFFFFF" w:themeColor="background1"/>
              </w:rPr>
              <w:t>FDA 21 CFR Part 11</w:t>
            </w:r>
            <w:r>
              <w:rPr>
                <w:b/>
                <w:color w:val="FFFFFF" w:themeColor="background1"/>
              </w:rPr>
              <w:t>:</w:t>
            </w:r>
            <w:r>
              <w:rPr>
                <w:b/>
                <w:color w:val="FFFFFF" w:themeColor="background1"/>
              </w:rPr>
              <w:br/>
              <w:t>Substantially equivalent</w:t>
            </w:r>
          </w:p>
        </w:tc>
      </w:tr>
      <w:tr w:rsidR="00AB5DC8" w14:paraId="1C04964A" w14:textId="77777777" w:rsidTr="00AB5DC8">
        <w:trPr>
          <w:tblHeader/>
        </w:trPr>
        <w:tc>
          <w:tcPr>
            <w:tcW w:w="1428" w:type="dxa"/>
          </w:tcPr>
          <w:p w14:paraId="13BF8497" w14:textId="78EAF0BC" w:rsidR="00AB5DC8" w:rsidRPr="002C05CE" w:rsidRDefault="00166FEC" w:rsidP="00AB5DC8">
            <w:pPr>
              <w:jc w:val="center"/>
              <w:rPr>
                <w:b/>
              </w:rPr>
            </w:pPr>
            <w:r>
              <w:rPr>
                <w:b/>
              </w:rPr>
              <w:t>1</w:t>
            </w:r>
          </w:p>
        </w:tc>
        <w:tc>
          <w:tcPr>
            <w:tcW w:w="3844" w:type="dxa"/>
          </w:tcPr>
          <w:p w14:paraId="4725A19C" w14:textId="0788C02B" w:rsidR="00AB5DC8" w:rsidRDefault="00166FEC" w:rsidP="00EB1CA9">
            <w:r>
              <w:t>Risk management</w:t>
            </w:r>
          </w:p>
        </w:tc>
        <w:tc>
          <w:tcPr>
            <w:tcW w:w="3845" w:type="dxa"/>
          </w:tcPr>
          <w:p w14:paraId="19318694" w14:textId="59362F48" w:rsidR="00AB5DC8" w:rsidRDefault="00166FEC" w:rsidP="00AB5DC8">
            <w:r>
              <w:t>Not covered</w:t>
            </w:r>
          </w:p>
        </w:tc>
      </w:tr>
      <w:tr w:rsidR="00166FEC" w14:paraId="3813E130" w14:textId="77777777" w:rsidTr="00AB5DC8">
        <w:trPr>
          <w:tblHeader/>
        </w:trPr>
        <w:tc>
          <w:tcPr>
            <w:tcW w:w="1428" w:type="dxa"/>
          </w:tcPr>
          <w:p w14:paraId="4D7563C3" w14:textId="6DB2C953" w:rsidR="00166FEC" w:rsidRDefault="00166FEC" w:rsidP="00AB5DC8">
            <w:pPr>
              <w:jc w:val="center"/>
              <w:rPr>
                <w:b/>
              </w:rPr>
            </w:pPr>
            <w:r>
              <w:rPr>
                <w:b/>
              </w:rPr>
              <w:t>3</w:t>
            </w:r>
          </w:p>
        </w:tc>
        <w:tc>
          <w:tcPr>
            <w:tcW w:w="3844" w:type="dxa"/>
          </w:tcPr>
          <w:p w14:paraId="2B80FCDE" w14:textId="7EE25BA7" w:rsidR="00166FEC" w:rsidRDefault="00166FEC" w:rsidP="00EB1CA9">
            <w:r>
              <w:t>Suppliers and service provider</w:t>
            </w:r>
          </w:p>
        </w:tc>
        <w:tc>
          <w:tcPr>
            <w:tcW w:w="3845" w:type="dxa"/>
          </w:tcPr>
          <w:p w14:paraId="0E71A000" w14:textId="42139551" w:rsidR="00166FEC" w:rsidRDefault="00166FEC" w:rsidP="00AB5DC8">
            <w:r>
              <w:t>Not covered</w:t>
            </w:r>
          </w:p>
        </w:tc>
      </w:tr>
      <w:tr w:rsidR="00166FEC" w14:paraId="0FD9F329" w14:textId="77777777" w:rsidTr="00AB5DC8">
        <w:trPr>
          <w:tblHeader/>
        </w:trPr>
        <w:tc>
          <w:tcPr>
            <w:tcW w:w="1428" w:type="dxa"/>
          </w:tcPr>
          <w:p w14:paraId="75BB3627" w14:textId="375216D4" w:rsidR="00166FEC" w:rsidRDefault="00166FEC" w:rsidP="00AB5DC8">
            <w:pPr>
              <w:jc w:val="center"/>
              <w:rPr>
                <w:b/>
              </w:rPr>
            </w:pPr>
            <w:r>
              <w:rPr>
                <w:b/>
              </w:rPr>
              <w:t>4</w:t>
            </w:r>
          </w:p>
        </w:tc>
        <w:tc>
          <w:tcPr>
            <w:tcW w:w="3844" w:type="dxa"/>
          </w:tcPr>
          <w:p w14:paraId="2A195FF8" w14:textId="63429FED" w:rsidR="00166FEC" w:rsidRDefault="00166FEC" w:rsidP="00EB1CA9">
            <w:r>
              <w:t>Validation</w:t>
            </w:r>
          </w:p>
        </w:tc>
        <w:tc>
          <w:tcPr>
            <w:tcW w:w="3845" w:type="dxa"/>
          </w:tcPr>
          <w:p w14:paraId="2A8372DB" w14:textId="1774F89F" w:rsidR="00166FEC" w:rsidRDefault="00166FEC" w:rsidP="00AB5DC8">
            <w:r>
              <w:t>Partially not covered</w:t>
            </w:r>
          </w:p>
        </w:tc>
      </w:tr>
      <w:tr w:rsidR="00166FEC" w14:paraId="5EF61BD3" w14:textId="77777777" w:rsidTr="00AB5DC8">
        <w:trPr>
          <w:tblHeader/>
        </w:trPr>
        <w:tc>
          <w:tcPr>
            <w:tcW w:w="1428" w:type="dxa"/>
          </w:tcPr>
          <w:p w14:paraId="0351BF9C" w14:textId="22966218" w:rsidR="00166FEC" w:rsidRDefault="00166FEC" w:rsidP="00AB5DC8">
            <w:pPr>
              <w:jc w:val="center"/>
              <w:rPr>
                <w:b/>
              </w:rPr>
            </w:pPr>
            <w:r>
              <w:rPr>
                <w:b/>
              </w:rPr>
              <w:t>7</w:t>
            </w:r>
          </w:p>
        </w:tc>
        <w:tc>
          <w:tcPr>
            <w:tcW w:w="3844" w:type="dxa"/>
          </w:tcPr>
          <w:p w14:paraId="723086E1" w14:textId="7E3DF088" w:rsidR="00166FEC" w:rsidRDefault="00166FEC" w:rsidP="00EB1CA9">
            <w:r>
              <w:t>Data storage</w:t>
            </w:r>
          </w:p>
        </w:tc>
        <w:tc>
          <w:tcPr>
            <w:tcW w:w="3845" w:type="dxa"/>
          </w:tcPr>
          <w:p w14:paraId="4AB36352" w14:textId="3A6F7471" w:rsidR="00166FEC" w:rsidRDefault="00166FEC" w:rsidP="00AB5DC8">
            <w:r>
              <w:t>Partially not covered</w:t>
            </w:r>
          </w:p>
        </w:tc>
      </w:tr>
      <w:tr w:rsidR="00166FEC" w14:paraId="0254045D" w14:textId="77777777" w:rsidTr="00AB5DC8">
        <w:trPr>
          <w:tblHeader/>
        </w:trPr>
        <w:tc>
          <w:tcPr>
            <w:tcW w:w="1428" w:type="dxa"/>
          </w:tcPr>
          <w:p w14:paraId="44A899F8" w14:textId="6C382040" w:rsidR="00166FEC" w:rsidRDefault="00166FEC" w:rsidP="00AB5DC8">
            <w:pPr>
              <w:jc w:val="center"/>
              <w:rPr>
                <w:b/>
              </w:rPr>
            </w:pPr>
            <w:r>
              <w:rPr>
                <w:b/>
              </w:rPr>
              <w:t>8</w:t>
            </w:r>
          </w:p>
        </w:tc>
        <w:tc>
          <w:tcPr>
            <w:tcW w:w="3844" w:type="dxa"/>
          </w:tcPr>
          <w:p w14:paraId="1327A4B3" w14:textId="403A277F" w:rsidR="00166FEC" w:rsidRDefault="00166FEC" w:rsidP="00EB1CA9">
            <w:r>
              <w:t>Printouts</w:t>
            </w:r>
          </w:p>
        </w:tc>
        <w:tc>
          <w:tcPr>
            <w:tcW w:w="3845" w:type="dxa"/>
          </w:tcPr>
          <w:p w14:paraId="72E62630" w14:textId="78A88D41" w:rsidR="00166FEC" w:rsidRDefault="00166FEC" w:rsidP="00AB5DC8">
            <w:r>
              <w:t>Partially not covered</w:t>
            </w:r>
          </w:p>
        </w:tc>
      </w:tr>
      <w:tr w:rsidR="00166FEC" w14:paraId="71A77AB4" w14:textId="77777777" w:rsidTr="00AB5DC8">
        <w:trPr>
          <w:tblHeader/>
        </w:trPr>
        <w:tc>
          <w:tcPr>
            <w:tcW w:w="1428" w:type="dxa"/>
          </w:tcPr>
          <w:p w14:paraId="3C9FA785" w14:textId="411B39AF" w:rsidR="00166FEC" w:rsidRDefault="00166FEC" w:rsidP="00AB5DC8">
            <w:pPr>
              <w:jc w:val="center"/>
              <w:rPr>
                <w:b/>
              </w:rPr>
            </w:pPr>
            <w:r>
              <w:rPr>
                <w:b/>
              </w:rPr>
              <w:t>12</w:t>
            </w:r>
          </w:p>
        </w:tc>
        <w:tc>
          <w:tcPr>
            <w:tcW w:w="3844" w:type="dxa"/>
          </w:tcPr>
          <w:p w14:paraId="53EA5AE1" w14:textId="4C80D6CD" w:rsidR="00166FEC" w:rsidRDefault="00166FEC" w:rsidP="00EB1CA9">
            <w:r>
              <w:t>Security</w:t>
            </w:r>
          </w:p>
        </w:tc>
        <w:tc>
          <w:tcPr>
            <w:tcW w:w="3845" w:type="dxa"/>
          </w:tcPr>
          <w:p w14:paraId="60AD411A" w14:textId="10FC1A16" w:rsidR="00166FEC" w:rsidRDefault="00166FEC" w:rsidP="00AB5DC8">
            <w:r>
              <w:t>Partially not covered</w:t>
            </w:r>
          </w:p>
        </w:tc>
      </w:tr>
      <w:tr w:rsidR="00166FEC" w14:paraId="4C57C567" w14:textId="77777777" w:rsidTr="00AB5DC8">
        <w:trPr>
          <w:tblHeader/>
        </w:trPr>
        <w:tc>
          <w:tcPr>
            <w:tcW w:w="1428" w:type="dxa"/>
          </w:tcPr>
          <w:p w14:paraId="7CA89845" w14:textId="5E3CDEAD" w:rsidR="00166FEC" w:rsidRDefault="00166FEC" w:rsidP="00AB5DC8">
            <w:pPr>
              <w:jc w:val="center"/>
              <w:rPr>
                <w:b/>
              </w:rPr>
            </w:pPr>
            <w:r>
              <w:rPr>
                <w:b/>
              </w:rPr>
              <w:t>13</w:t>
            </w:r>
          </w:p>
        </w:tc>
        <w:tc>
          <w:tcPr>
            <w:tcW w:w="3844" w:type="dxa"/>
          </w:tcPr>
          <w:p w14:paraId="6AE67BB6" w14:textId="60378004" w:rsidR="00166FEC" w:rsidRDefault="00166FEC" w:rsidP="00EB1CA9">
            <w:r>
              <w:t>Incident Management</w:t>
            </w:r>
          </w:p>
        </w:tc>
        <w:tc>
          <w:tcPr>
            <w:tcW w:w="3845" w:type="dxa"/>
          </w:tcPr>
          <w:p w14:paraId="2724DDA5" w14:textId="1667E7BD" w:rsidR="00166FEC" w:rsidRDefault="00166FEC" w:rsidP="00AB5DC8">
            <w:r>
              <w:t>Not covered</w:t>
            </w:r>
          </w:p>
        </w:tc>
      </w:tr>
      <w:tr w:rsidR="00166FEC" w14:paraId="6D8F667D" w14:textId="77777777" w:rsidTr="00AB5DC8">
        <w:trPr>
          <w:tblHeader/>
        </w:trPr>
        <w:tc>
          <w:tcPr>
            <w:tcW w:w="1428" w:type="dxa"/>
          </w:tcPr>
          <w:p w14:paraId="68ABE5B0" w14:textId="315BB070" w:rsidR="00166FEC" w:rsidRDefault="00166FEC" w:rsidP="00AB5DC8">
            <w:pPr>
              <w:jc w:val="center"/>
              <w:rPr>
                <w:b/>
              </w:rPr>
            </w:pPr>
            <w:r>
              <w:rPr>
                <w:b/>
              </w:rPr>
              <w:t>15</w:t>
            </w:r>
          </w:p>
        </w:tc>
        <w:tc>
          <w:tcPr>
            <w:tcW w:w="3844" w:type="dxa"/>
          </w:tcPr>
          <w:p w14:paraId="25977F16" w14:textId="258C893D" w:rsidR="00166FEC" w:rsidRDefault="00166FEC" w:rsidP="00EB1CA9">
            <w:r>
              <w:t>Batch release</w:t>
            </w:r>
          </w:p>
        </w:tc>
        <w:tc>
          <w:tcPr>
            <w:tcW w:w="3845" w:type="dxa"/>
          </w:tcPr>
          <w:p w14:paraId="3FF322EB" w14:textId="5D83EE28" w:rsidR="00166FEC" w:rsidRDefault="00166FEC" w:rsidP="00AB5DC8">
            <w:r>
              <w:t>Not covered</w:t>
            </w:r>
          </w:p>
        </w:tc>
      </w:tr>
      <w:tr w:rsidR="00166FEC" w14:paraId="430F3285" w14:textId="77777777" w:rsidTr="00AB5DC8">
        <w:trPr>
          <w:tblHeader/>
        </w:trPr>
        <w:tc>
          <w:tcPr>
            <w:tcW w:w="1428" w:type="dxa"/>
          </w:tcPr>
          <w:p w14:paraId="24048466" w14:textId="391201BE" w:rsidR="00166FEC" w:rsidRDefault="00166FEC" w:rsidP="00AB5DC8">
            <w:pPr>
              <w:jc w:val="center"/>
              <w:rPr>
                <w:b/>
              </w:rPr>
            </w:pPr>
            <w:r>
              <w:rPr>
                <w:b/>
              </w:rPr>
              <w:t>16</w:t>
            </w:r>
          </w:p>
        </w:tc>
        <w:tc>
          <w:tcPr>
            <w:tcW w:w="3844" w:type="dxa"/>
          </w:tcPr>
          <w:p w14:paraId="5C57FDA4" w14:textId="02D99F4F" w:rsidR="00166FEC" w:rsidRDefault="00166FEC" w:rsidP="00EB1CA9">
            <w:r>
              <w:t>Business continuity</w:t>
            </w:r>
          </w:p>
        </w:tc>
        <w:tc>
          <w:tcPr>
            <w:tcW w:w="3845" w:type="dxa"/>
          </w:tcPr>
          <w:p w14:paraId="36AA6C72" w14:textId="768A38BD" w:rsidR="00166FEC" w:rsidRDefault="00166FEC" w:rsidP="00AB5DC8">
            <w:r>
              <w:t>Not covered</w:t>
            </w:r>
          </w:p>
        </w:tc>
      </w:tr>
    </w:tbl>
    <w:p w14:paraId="4059F874" w14:textId="4A75C8E0" w:rsidR="00137D9F" w:rsidRPr="00DB124B" w:rsidRDefault="00137D9F" w:rsidP="00137D9F">
      <w:pPr>
        <w:spacing w:line="360" w:lineRule="auto"/>
        <w:rPr>
          <w:b/>
        </w:rPr>
      </w:pPr>
      <w:r w:rsidRPr="00DB124B">
        <w:rPr>
          <w:b/>
        </w:rPr>
        <w:lastRenderedPageBreak/>
        <w:t>Comparison from FDA 21 CFR Part 11</w:t>
      </w:r>
      <w:r>
        <w:rPr>
          <w:b/>
        </w:rPr>
        <w:t xml:space="preserve"> to EU GMP Annex 11</w:t>
      </w:r>
      <w:r w:rsidRPr="00DB124B">
        <w:rPr>
          <w:b/>
        </w:rPr>
        <w:t>:</w:t>
      </w:r>
    </w:p>
    <w:tbl>
      <w:tblPr>
        <w:tblStyle w:val="Tabellenraster"/>
        <w:tblW w:w="0" w:type="auto"/>
        <w:tblLook w:val="04A0" w:firstRow="1" w:lastRow="0" w:firstColumn="1" w:lastColumn="0" w:noHBand="0" w:noVBand="1"/>
      </w:tblPr>
      <w:tblGrid>
        <w:gridCol w:w="1384"/>
        <w:gridCol w:w="2268"/>
        <w:gridCol w:w="2693"/>
        <w:gridCol w:w="2772"/>
      </w:tblGrid>
      <w:tr w:rsidR="00692338" w:rsidRPr="00B3540E" w14:paraId="226A6ADA" w14:textId="4FF099BA" w:rsidTr="00692338">
        <w:trPr>
          <w:tblHeader/>
        </w:trPr>
        <w:tc>
          <w:tcPr>
            <w:tcW w:w="1384" w:type="dxa"/>
            <w:shd w:val="clear" w:color="auto" w:fill="1F497D" w:themeFill="text2"/>
          </w:tcPr>
          <w:p w14:paraId="65D5A307" w14:textId="2BDE176B" w:rsidR="009A53F7" w:rsidRPr="00B3540E" w:rsidRDefault="009A53F7" w:rsidP="00EB1CA9">
            <w:pPr>
              <w:spacing w:line="360" w:lineRule="auto"/>
              <w:jc w:val="center"/>
              <w:rPr>
                <w:b/>
                <w:color w:val="FFFFFF" w:themeColor="background1"/>
              </w:rPr>
            </w:pPr>
            <w:r>
              <w:rPr>
                <w:b/>
                <w:color w:val="FFFFFF" w:themeColor="background1"/>
              </w:rPr>
              <w:t>Part 11</w:t>
            </w:r>
            <w:r>
              <w:rPr>
                <w:b/>
                <w:color w:val="FFFFFF" w:themeColor="background1"/>
              </w:rPr>
              <w:br/>
              <w:t>Section No.</w:t>
            </w:r>
          </w:p>
        </w:tc>
        <w:tc>
          <w:tcPr>
            <w:tcW w:w="2268" w:type="dxa"/>
            <w:shd w:val="clear" w:color="auto" w:fill="1F497D" w:themeFill="text2"/>
          </w:tcPr>
          <w:p w14:paraId="4FDC1EBB" w14:textId="2EAAC059" w:rsidR="009A53F7" w:rsidRPr="00B3540E" w:rsidRDefault="009A53F7" w:rsidP="00A536AA">
            <w:pPr>
              <w:spacing w:line="360" w:lineRule="auto"/>
              <w:jc w:val="center"/>
              <w:rPr>
                <w:b/>
                <w:color w:val="FFFFFF" w:themeColor="background1"/>
              </w:rPr>
            </w:pPr>
            <w:r w:rsidRPr="00AB5DC8">
              <w:rPr>
                <w:b/>
                <w:color w:val="FFFFFF" w:themeColor="background1"/>
              </w:rPr>
              <w:t>FDA 21 CFR Part 11</w:t>
            </w:r>
            <w:r>
              <w:rPr>
                <w:b/>
                <w:color w:val="FFFFFF" w:themeColor="background1"/>
              </w:rPr>
              <w:t>:</w:t>
            </w:r>
            <w:r>
              <w:rPr>
                <w:b/>
                <w:color w:val="FFFFFF" w:themeColor="background1"/>
              </w:rPr>
              <w:br/>
              <w:t>Title</w:t>
            </w:r>
          </w:p>
        </w:tc>
        <w:tc>
          <w:tcPr>
            <w:tcW w:w="2693" w:type="dxa"/>
            <w:shd w:val="clear" w:color="auto" w:fill="1F497D" w:themeFill="text2"/>
          </w:tcPr>
          <w:p w14:paraId="4A93C7F2" w14:textId="67A1D14C" w:rsidR="009A53F7" w:rsidRPr="00B3540E" w:rsidRDefault="009A53F7" w:rsidP="00EB1CA9">
            <w:pPr>
              <w:spacing w:line="360" w:lineRule="auto"/>
              <w:jc w:val="center"/>
              <w:rPr>
                <w:b/>
                <w:color w:val="FFFFFF" w:themeColor="background1"/>
              </w:rPr>
            </w:pPr>
            <w:r w:rsidRPr="00AB5DC8">
              <w:rPr>
                <w:b/>
                <w:color w:val="FFFFFF" w:themeColor="background1"/>
              </w:rPr>
              <w:t>EU GMP Annex 11</w:t>
            </w:r>
            <w:r>
              <w:rPr>
                <w:b/>
                <w:color w:val="FFFFFF" w:themeColor="background1"/>
              </w:rPr>
              <w:t>:</w:t>
            </w:r>
            <w:r>
              <w:rPr>
                <w:b/>
                <w:color w:val="FFFFFF" w:themeColor="background1"/>
              </w:rPr>
              <w:br/>
              <w:t>Substantially equivalent</w:t>
            </w:r>
          </w:p>
        </w:tc>
        <w:tc>
          <w:tcPr>
            <w:tcW w:w="2772" w:type="dxa"/>
            <w:shd w:val="clear" w:color="auto" w:fill="1F497D" w:themeFill="text2"/>
          </w:tcPr>
          <w:p w14:paraId="5C46663C" w14:textId="36256C22" w:rsidR="009A53F7" w:rsidRPr="00AB5DC8" w:rsidRDefault="009A53F7" w:rsidP="00EB1CA9">
            <w:pPr>
              <w:spacing w:line="360" w:lineRule="auto"/>
              <w:jc w:val="center"/>
              <w:rPr>
                <w:b/>
                <w:color w:val="FFFFFF" w:themeColor="background1"/>
              </w:rPr>
            </w:pPr>
            <w:r>
              <w:rPr>
                <w:b/>
                <w:color w:val="FFFFFF" w:themeColor="background1"/>
              </w:rPr>
              <w:t>Fabasoft Cloud</w:t>
            </w:r>
          </w:p>
        </w:tc>
      </w:tr>
      <w:tr w:rsidR="00692338" w14:paraId="53910998" w14:textId="13CCFAB2" w:rsidTr="00692338">
        <w:trPr>
          <w:tblHeader/>
        </w:trPr>
        <w:tc>
          <w:tcPr>
            <w:tcW w:w="1384" w:type="dxa"/>
          </w:tcPr>
          <w:p w14:paraId="67920229" w14:textId="2937BA07" w:rsidR="009A53F7" w:rsidRPr="002C05CE" w:rsidRDefault="009A53F7" w:rsidP="00EB1CA9">
            <w:pPr>
              <w:jc w:val="center"/>
              <w:rPr>
                <w:b/>
              </w:rPr>
            </w:pPr>
            <w:r>
              <w:rPr>
                <w:b/>
              </w:rPr>
              <w:t>1</w:t>
            </w:r>
            <w:r w:rsidR="004A3951">
              <w:rPr>
                <w:b/>
              </w:rPr>
              <w:t>1.10(j)</w:t>
            </w:r>
          </w:p>
        </w:tc>
        <w:tc>
          <w:tcPr>
            <w:tcW w:w="2268" w:type="dxa"/>
          </w:tcPr>
          <w:p w14:paraId="6769DE58" w14:textId="4636DB15" w:rsidR="009A53F7" w:rsidRDefault="004A3951" w:rsidP="00EB1CA9">
            <w:r>
              <w:t>User accountability for actions initiated under e-signatures</w:t>
            </w:r>
          </w:p>
        </w:tc>
        <w:tc>
          <w:tcPr>
            <w:tcW w:w="2693" w:type="dxa"/>
          </w:tcPr>
          <w:p w14:paraId="6383D50C" w14:textId="77777777" w:rsidR="009A53F7" w:rsidRDefault="009A53F7" w:rsidP="00EB1CA9">
            <w:r>
              <w:t>Not covered</w:t>
            </w:r>
          </w:p>
        </w:tc>
        <w:tc>
          <w:tcPr>
            <w:tcW w:w="2772" w:type="dxa"/>
          </w:tcPr>
          <w:p w14:paraId="39BA2B8C" w14:textId="4D857534" w:rsidR="009A53F7" w:rsidRDefault="00776B66" w:rsidP="00776B66">
            <w:r>
              <w:t>Has to be handled by customer – the records as a basis for any decision are available due to audit-proof archiving of all actions</w:t>
            </w:r>
            <w:r w:rsidR="00991117">
              <w:t>.</w:t>
            </w:r>
          </w:p>
        </w:tc>
      </w:tr>
      <w:tr w:rsidR="00692338" w14:paraId="34FD8D61" w14:textId="77777777" w:rsidTr="00692338">
        <w:trPr>
          <w:tblHeader/>
        </w:trPr>
        <w:tc>
          <w:tcPr>
            <w:tcW w:w="1384" w:type="dxa"/>
          </w:tcPr>
          <w:p w14:paraId="4C0C56DC" w14:textId="3D7DB6B4" w:rsidR="00CC7BD2" w:rsidRDefault="000B2E13" w:rsidP="00EB1CA9">
            <w:pPr>
              <w:jc w:val="center"/>
              <w:rPr>
                <w:b/>
              </w:rPr>
            </w:pPr>
            <w:r>
              <w:rPr>
                <w:b/>
              </w:rPr>
              <w:t>11.100(a)</w:t>
            </w:r>
          </w:p>
        </w:tc>
        <w:tc>
          <w:tcPr>
            <w:tcW w:w="2268" w:type="dxa"/>
          </w:tcPr>
          <w:p w14:paraId="106D19BB" w14:textId="11E5B23B" w:rsidR="00CC7BD2" w:rsidRDefault="000B2E13" w:rsidP="00EB1CA9">
            <w:r>
              <w:t>Unique/not reused</w:t>
            </w:r>
            <w:r w:rsidR="00644130">
              <w:t xml:space="preserve"> electronic signatures</w:t>
            </w:r>
          </w:p>
        </w:tc>
        <w:tc>
          <w:tcPr>
            <w:tcW w:w="2693" w:type="dxa"/>
          </w:tcPr>
          <w:p w14:paraId="4480CC50" w14:textId="1A36729A" w:rsidR="00CC7BD2" w:rsidRDefault="000B2E13" w:rsidP="00EB1CA9">
            <w:r>
              <w:t>Not covered</w:t>
            </w:r>
          </w:p>
        </w:tc>
        <w:tc>
          <w:tcPr>
            <w:tcW w:w="2772" w:type="dxa"/>
          </w:tcPr>
          <w:p w14:paraId="1C2AE771" w14:textId="342E90DE" w:rsidR="00CC7BD2" w:rsidRDefault="006C168D" w:rsidP="00B27824">
            <w:r>
              <w:t xml:space="preserve">Workflows can be designed, managed and are documented in the Fabasoft Cloud. </w:t>
            </w:r>
            <w:r w:rsidR="00A147A1">
              <w:t>A user can e. g. approve</w:t>
            </w:r>
            <w:r>
              <w:t xml:space="preserve"> a document</w:t>
            </w:r>
            <w:r w:rsidR="00A147A1">
              <w:t>. His identification is recorded (see 11</w:t>
            </w:r>
            <w:r w:rsidR="00740CE0">
              <w:t>0</w:t>
            </w:r>
            <w:r w:rsidR="00A147A1">
              <w:t>.00(b) below), when passing the two factor authentification</w:t>
            </w:r>
            <w:r w:rsidR="00B27824">
              <w:t>. Therefore no one else can reuse his signature within the Fabasoft Cloud.</w:t>
            </w:r>
          </w:p>
        </w:tc>
      </w:tr>
      <w:tr w:rsidR="00692338" w14:paraId="429998AD" w14:textId="77777777" w:rsidTr="00692338">
        <w:trPr>
          <w:tblHeader/>
        </w:trPr>
        <w:tc>
          <w:tcPr>
            <w:tcW w:w="1384" w:type="dxa"/>
          </w:tcPr>
          <w:p w14:paraId="0821DF0D" w14:textId="1982F21A" w:rsidR="000B2E13" w:rsidRDefault="000B2E13" w:rsidP="00EB1CA9">
            <w:pPr>
              <w:jc w:val="center"/>
              <w:rPr>
                <w:b/>
              </w:rPr>
            </w:pPr>
            <w:r>
              <w:rPr>
                <w:b/>
              </w:rPr>
              <w:t>11.100(b)</w:t>
            </w:r>
          </w:p>
        </w:tc>
        <w:tc>
          <w:tcPr>
            <w:tcW w:w="2268" w:type="dxa"/>
          </w:tcPr>
          <w:p w14:paraId="1676A5E8" w14:textId="4F8E8D56" w:rsidR="000B2E13" w:rsidRDefault="000B2E13" w:rsidP="00EB1CA9">
            <w:r>
              <w:t>Verify identity</w:t>
            </w:r>
          </w:p>
        </w:tc>
        <w:tc>
          <w:tcPr>
            <w:tcW w:w="2693" w:type="dxa"/>
          </w:tcPr>
          <w:p w14:paraId="60C760E3" w14:textId="772F15A8" w:rsidR="000B2E13" w:rsidRDefault="000B2E13" w:rsidP="00EB1CA9">
            <w:r>
              <w:t>Not covered</w:t>
            </w:r>
          </w:p>
        </w:tc>
        <w:tc>
          <w:tcPr>
            <w:tcW w:w="2772" w:type="dxa"/>
          </w:tcPr>
          <w:p w14:paraId="5BDCD9BA" w14:textId="5F52354C" w:rsidR="000B2E13" w:rsidRDefault="000B5F59" w:rsidP="00716D83">
            <w:r>
              <w:t xml:space="preserve">In each user record the Fabasoft Cloud </w:t>
            </w:r>
            <w:r w:rsidR="00716D83">
              <w:t>documents</w:t>
            </w:r>
            <w:r>
              <w:t xml:space="preserve"> how he has identified himself during login.</w:t>
            </w:r>
          </w:p>
        </w:tc>
      </w:tr>
    </w:tbl>
    <w:p w14:paraId="493A8424" w14:textId="77777777" w:rsidR="002D6602" w:rsidRDefault="002D6602" w:rsidP="002D6602">
      <w:pPr>
        <w:spacing w:line="360" w:lineRule="auto"/>
      </w:pPr>
    </w:p>
    <w:p w14:paraId="79EB2FF1" w14:textId="409B5469" w:rsidR="007F6FEA" w:rsidRPr="0075619C" w:rsidRDefault="005D69A5" w:rsidP="0060066D">
      <w:r>
        <w:t xml:space="preserve">This comparion </w:t>
      </w:r>
      <w:r w:rsidR="00FA3309">
        <w:t>shows that the EU GMP Annex 11 has only single sections, where no equivalent definition exists. But according to the above tabular the Fabasoft Cloud also fulfills these requirements.</w:t>
      </w:r>
      <w:r w:rsidR="007B60F0">
        <w:br/>
      </w:r>
    </w:p>
    <w:p w14:paraId="7588381E" w14:textId="06C620F6" w:rsidR="006E12B6" w:rsidRDefault="006E12B6" w:rsidP="001E58B3">
      <w:pPr>
        <w:pStyle w:val="berschrift1"/>
      </w:pPr>
      <w:bookmarkStart w:id="20" w:name="_Toc462923031"/>
      <w:r>
        <w:t>Fabasoft</w:t>
      </w:r>
      <w:bookmarkEnd w:id="20"/>
      <w:r>
        <w:t xml:space="preserve"> </w:t>
      </w:r>
      <w:r>
        <w:br/>
      </w:r>
    </w:p>
    <w:p w14:paraId="51B486F9" w14:textId="4C95A0AB" w:rsidR="001E58B3" w:rsidRDefault="00366532" w:rsidP="001E58B3">
      <w:r w:rsidRPr="00366532">
        <w:t xml:space="preserve">Fabasoft </w:t>
      </w:r>
      <w:r w:rsidR="004B7C6B">
        <w:t xml:space="preserve">has been </w:t>
      </w:r>
      <w:r>
        <w:t>digi</w:t>
      </w:r>
      <w:r w:rsidR="004B7C6B">
        <w:t xml:space="preserve">tising records management and has been realising innovative services for companies, their business partners and for public administration for more than 28 years. </w:t>
      </w:r>
      <w:r w:rsidRPr="00366532">
        <w:t>More than 200 empl</w:t>
      </w:r>
      <w:r w:rsidR="004B7C6B">
        <w:t>oyees are working for the realis</w:t>
      </w:r>
      <w:r w:rsidRPr="00366532">
        <w:t xml:space="preserve">ation of the corporate vision: Fabasoft is the standard product for the boundless digital </w:t>
      </w:r>
      <w:r w:rsidR="004B7C6B">
        <w:t>records</w:t>
      </w:r>
      <w:r w:rsidRPr="00366532">
        <w:t xml:space="preserve"> management in </w:t>
      </w:r>
      <w:r w:rsidR="004B7C6B">
        <w:t xml:space="preserve">manufacturing, health care, finances </w:t>
      </w:r>
      <w:r w:rsidRPr="00366532">
        <w:t xml:space="preserve">and in </w:t>
      </w:r>
      <w:r w:rsidR="004B7C6B">
        <w:t xml:space="preserve">the </w:t>
      </w:r>
      <w:r w:rsidRPr="00366532">
        <w:t xml:space="preserve">public </w:t>
      </w:r>
      <w:r w:rsidR="004B7C6B">
        <w:t>sector</w:t>
      </w:r>
      <w:r w:rsidRPr="00366532">
        <w:t xml:space="preserve"> in Europe.</w:t>
      </w:r>
      <w:r w:rsidR="004B7C6B">
        <w:t xml:space="preserve"> </w:t>
      </w:r>
      <w:r w:rsidR="001E58B3">
        <w:t>Fabasoft’s software products ensure the consistent capture, process</w:t>
      </w:r>
      <w:r w:rsidR="0059407B">
        <w:t>-oriented handling, secure stor</w:t>
      </w:r>
      <w:r w:rsidR="001E58B3">
        <w:t xml:space="preserve">age and context-sensitive finding of </w:t>
      </w:r>
      <w:r w:rsidR="001E58B3">
        <w:lastRenderedPageBreak/>
        <w:t>all digital business documents. These functions are used in both on premise installations in customer data processing centers, as well as SaaS and cloud services.</w:t>
      </w:r>
    </w:p>
    <w:p w14:paraId="0E8B5E1D" w14:textId="116B0C0F" w:rsidR="009C40FE" w:rsidRDefault="001E58B3" w:rsidP="001E58B3">
      <w:r>
        <w:t xml:space="preserve">The </w:t>
      </w:r>
      <w:r w:rsidR="0059407B">
        <w:t xml:space="preserve">Fabasoft </w:t>
      </w:r>
      <w:r>
        <w:t xml:space="preserve">Group is represented by subsidiaries in Germany, Austria, Switzerland, Great Britain and the USA. Furthermore, it maintains sales and project partnerships in these and other countries. Fabasoft </w:t>
      </w:r>
      <w:r w:rsidR="00F43D10">
        <w:t xml:space="preserve">AG, </w:t>
      </w:r>
      <w:r>
        <w:t>wit</w:t>
      </w:r>
      <w:r w:rsidR="0059407B">
        <w:t>h its headquarters in Linz, Aus</w:t>
      </w:r>
      <w:r>
        <w:t xml:space="preserve">tria, acts as the </w:t>
      </w:r>
      <w:r w:rsidR="00F43D10">
        <w:t>G</w:t>
      </w:r>
      <w:r>
        <w:t>roup</w:t>
      </w:r>
      <w:r w:rsidR="00F43D10">
        <w:t>’</w:t>
      </w:r>
      <w:r>
        <w:t>s administrative body.</w:t>
      </w:r>
    </w:p>
    <w:p w14:paraId="13A62799" w14:textId="1410D8A9" w:rsidR="009C40FE" w:rsidRDefault="00E94C3A" w:rsidP="001E58B3">
      <w:hyperlink r:id="rId13" w:history="1">
        <w:r w:rsidR="009C40FE" w:rsidRPr="009C40FE">
          <w:rPr>
            <w:rStyle w:val="Link"/>
            <w:color w:val="002060"/>
          </w:rPr>
          <w:t>www.fabasoft.com</w:t>
        </w:r>
      </w:hyperlink>
      <w:r w:rsidR="009C40FE">
        <w:t xml:space="preserve"> </w:t>
      </w:r>
    </w:p>
    <w:sectPr w:rsidR="009C40FE" w:rsidSect="00554029">
      <w:pgSz w:w="11906" w:h="16838"/>
      <w:pgMar w:top="1701" w:right="1247" w:bottom="1985" w:left="1758" w:header="0"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20594" w14:textId="77777777" w:rsidR="00E94C3A" w:rsidRDefault="00E94C3A" w:rsidP="003D073B">
      <w:pPr>
        <w:spacing w:before="0" w:after="0" w:line="240" w:lineRule="auto"/>
      </w:pPr>
      <w:r>
        <w:separator/>
      </w:r>
    </w:p>
  </w:endnote>
  <w:endnote w:type="continuationSeparator" w:id="0">
    <w:p w14:paraId="2E05EA85" w14:textId="77777777" w:rsidR="00E94C3A" w:rsidRDefault="00E94C3A" w:rsidP="003D07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9BF6" w14:textId="77777777" w:rsidR="00EB1CA9" w:rsidRPr="0044764B" w:rsidRDefault="00EB1CA9" w:rsidP="00417D24">
    <w:pPr>
      <w:jc w:val="right"/>
      <w:rPr>
        <w:color w:val="FFFFFF" w:themeColor="background1"/>
      </w:rPr>
    </w:pPr>
    <w:r>
      <w:rPr>
        <w:noProof/>
        <w:lang w:val="de-DE" w:eastAsia="de-DE"/>
      </w:rPr>
      <w:drawing>
        <wp:anchor distT="0" distB="0" distL="114300" distR="114300" simplePos="0" relativeHeight="251662336" behindDoc="1" locked="0" layoutInCell="1" allowOverlap="1" wp14:anchorId="547DD904" wp14:editId="193614D5">
          <wp:simplePos x="0" y="0"/>
          <wp:positionH relativeFrom="column">
            <wp:posOffset>-1114425</wp:posOffset>
          </wp:positionH>
          <wp:positionV relativeFrom="paragraph">
            <wp:posOffset>-229965</wp:posOffset>
          </wp:positionV>
          <wp:extent cx="7560000" cy="720000"/>
          <wp:effectExtent l="0" t="0" r="0" b="0"/>
          <wp:wrapNone/>
          <wp:docPr id="6" name="Grafik 6" title="Faba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417D24">
      <w:rPr>
        <w:color w:val="FFFFFF" w:themeColor="background1"/>
      </w:rPr>
      <w:fldChar w:fldCharType="begin"/>
    </w:r>
    <w:r w:rsidRPr="00417D24">
      <w:rPr>
        <w:color w:val="FFFFFF" w:themeColor="background1"/>
      </w:rPr>
      <w:instrText>PAGE   \* MERGEFORMAT</w:instrText>
    </w:r>
    <w:r w:rsidRPr="00417D24">
      <w:rPr>
        <w:color w:val="FFFFFF" w:themeColor="background1"/>
      </w:rPr>
      <w:fldChar w:fldCharType="separate"/>
    </w:r>
    <w:r w:rsidR="00230C8B">
      <w:rPr>
        <w:noProof/>
        <w:color w:val="FFFFFF" w:themeColor="background1"/>
      </w:rPr>
      <w:t>3</w:t>
    </w:r>
    <w:r w:rsidRPr="00417D24">
      <w:rPr>
        <w:color w:val="FFFFFF" w:themeColor="background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6F6A6" w14:textId="77777777" w:rsidR="00E94C3A" w:rsidRDefault="00E94C3A" w:rsidP="003D073B">
      <w:pPr>
        <w:spacing w:before="0" w:after="0" w:line="240" w:lineRule="auto"/>
      </w:pPr>
      <w:r>
        <w:separator/>
      </w:r>
    </w:p>
  </w:footnote>
  <w:footnote w:type="continuationSeparator" w:id="0">
    <w:p w14:paraId="5F9FF808" w14:textId="77777777" w:rsidR="00E94C3A" w:rsidRDefault="00E94C3A" w:rsidP="003D073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6764" w14:textId="77777777" w:rsidR="00EB1CA9" w:rsidRDefault="00EB1CA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3E69506"/>
    <w:lvl w:ilvl="0">
      <w:start w:val="1"/>
      <w:numFmt w:val="decimal"/>
      <w:lvlText w:val="%1"/>
      <w:legacy w:legacy="1" w:legacySpace="425" w:legacyIndent="0"/>
      <w:lvlJc w:val="left"/>
      <w:pPr>
        <w:ind w:left="0" w:firstLine="0"/>
      </w:pPr>
    </w:lvl>
    <w:lvl w:ilvl="1">
      <w:start w:val="1"/>
      <w:numFmt w:val="decimal"/>
      <w:lvlText w:val="%1.%2"/>
      <w:legacy w:legacy="1" w:legacySpace="144" w:legacyIndent="708"/>
      <w:lvlJc w:val="left"/>
      <w:pPr>
        <w:ind w:left="708" w:hanging="708"/>
      </w:pPr>
    </w:lvl>
    <w:lvl w:ilvl="2">
      <w:start w:val="1"/>
      <w:numFmt w:val="decimal"/>
      <w:lvlText w:val="%1.%2.%3"/>
      <w:legacy w:legacy="1" w:legacySpace="144" w:legacyIndent="708"/>
      <w:lvlJc w:val="left"/>
      <w:pPr>
        <w:ind w:left="1416" w:hanging="708"/>
      </w:pPr>
    </w:lvl>
    <w:lvl w:ilvl="3">
      <w:start w:val="1"/>
      <w:numFmt w:val="decimal"/>
      <w:lvlText w:val="%1.%2.%3.%4"/>
      <w:legacy w:legacy="1" w:legacySpace="144" w:legacyIndent="708"/>
      <w:lvlJc w:val="left"/>
      <w:pPr>
        <w:ind w:left="2124" w:hanging="708"/>
      </w:pPr>
    </w:lvl>
    <w:lvl w:ilvl="4">
      <w:start w:val="1"/>
      <w:numFmt w:val="decimal"/>
      <w:lvlText w:val="%1.%2.%3.%4.%5"/>
      <w:legacy w:legacy="1" w:legacySpace="144" w:legacyIndent="708"/>
      <w:lvlJc w:val="left"/>
      <w:pPr>
        <w:ind w:left="2832" w:hanging="708"/>
      </w:pPr>
    </w:lvl>
    <w:lvl w:ilvl="5">
      <w:start w:val="1"/>
      <w:numFmt w:val="decimal"/>
      <w:lvlText w:val="%1.%2.%3.%4.%5.%6"/>
      <w:legacy w:legacy="1" w:legacySpace="144" w:legacyIndent="708"/>
      <w:lvlJc w:val="left"/>
      <w:pPr>
        <w:ind w:left="3540" w:hanging="708"/>
      </w:pPr>
    </w:lvl>
    <w:lvl w:ilvl="6">
      <w:start w:val="1"/>
      <w:numFmt w:val="decimal"/>
      <w:lvlText w:val="%1.%2.%3.%4.%5.%6.%7"/>
      <w:legacy w:legacy="1" w:legacySpace="144" w:legacyIndent="708"/>
      <w:lvlJc w:val="left"/>
      <w:pPr>
        <w:ind w:left="4248" w:hanging="708"/>
      </w:pPr>
    </w:lvl>
    <w:lvl w:ilvl="7">
      <w:start w:val="1"/>
      <w:numFmt w:val="decimal"/>
      <w:lvlText w:val="%1.%2.%3.%4.%5.%6.%7.%8"/>
      <w:legacy w:legacy="1" w:legacySpace="144" w:legacyIndent="708"/>
      <w:lvlJc w:val="left"/>
      <w:pPr>
        <w:ind w:left="4956" w:hanging="708"/>
      </w:pPr>
    </w:lvl>
    <w:lvl w:ilvl="8">
      <w:start w:val="1"/>
      <w:numFmt w:val="decimal"/>
      <w:lvlText w:val="%1.%2.%3.%4.%5.%6.%7.%8.%9"/>
      <w:legacy w:legacy="1" w:legacySpace="144" w:legacyIndent="708"/>
      <w:lvlJc w:val="left"/>
      <w:pPr>
        <w:ind w:left="5664" w:hanging="708"/>
      </w:pPr>
    </w:lvl>
  </w:abstractNum>
  <w:abstractNum w:abstractNumId="1">
    <w:nsid w:val="00F55800"/>
    <w:multiLevelType w:val="hybridMultilevel"/>
    <w:tmpl w:val="6CC40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3255D60"/>
    <w:multiLevelType w:val="hybridMultilevel"/>
    <w:tmpl w:val="2BF6F9BE"/>
    <w:lvl w:ilvl="0" w:tplc="0C78BF5E">
      <w:start w:val="1"/>
      <w:numFmt w:val="bullet"/>
      <w:pStyle w:val="DListBullet1"/>
      <w:lvlText w:val=""/>
      <w:lvlJc w:val="left"/>
      <w:pPr>
        <w:ind w:left="360"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ï‚§"/>
      <w:lvlJc w:val="left"/>
      <w:pPr>
        <w:ind w:left="2302" w:hanging="360"/>
      </w:pPr>
      <w:rPr>
        <w:rFonts w:ascii="Wingdings" w:hAnsi="Wingdings" w:hint="default"/>
      </w:rPr>
    </w:lvl>
    <w:lvl w:ilvl="3" w:tplc="04090001" w:tentative="1">
      <w:start w:val="1"/>
      <w:numFmt w:val="bullet"/>
      <w:lvlText w:val="ï‚·"/>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ï‚§"/>
      <w:lvlJc w:val="left"/>
      <w:pPr>
        <w:ind w:left="4462" w:hanging="360"/>
      </w:pPr>
      <w:rPr>
        <w:rFonts w:ascii="Wingdings" w:hAnsi="Wingdings" w:hint="default"/>
      </w:rPr>
    </w:lvl>
    <w:lvl w:ilvl="6" w:tplc="04090001" w:tentative="1">
      <w:start w:val="1"/>
      <w:numFmt w:val="bullet"/>
      <w:lvlText w:val="ï‚·"/>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ï‚§"/>
      <w:lvlJc w:val="left"/>
      <w:pPr>
        <w:ind w:left="6622" w:hanging="360"/>
      </w:pPr>
      <w:rPr>
        <w:rFonts w:ascii="Wingdings" w:hAnsi="Wingdings" w:hint="default"/>
      </w:rPr>
    </w:lvl>
  </w:abstractNum>
  <w:abstractNum w:abstractNumId="3">
    <w:nsid w:val="045D1B10"/>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4D33C4"/>
    <w:multiLevelType w:val="hybridMultilevel"/>
    <w:tmpl w:val="21983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A092998"/>
    <w:multiLevelType w:val="multilevel"/>
    <w:tmpl w:val="BEC2A25E"/>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D45E8"/>
    <w:multiLevelType w:val="multilevel"/>
    <w:tmpl w:val="3170EEBE"/>
    <w:lvl w:ilvl="0">
      <w:start w:val="1"/>
      <w:numFmt w:val="decimal"/>
      <w:pStyle w:val="DListNumber1"/>
      <w:lvlText w:val="%1."/>
      <w:lvlJc w:val="left"/>
      <w:pPr>
        <w:ind w:left="3192" w:hanging="360"/>
      </w:pPr>
    </w:lvl>
    <w:lvl w:ilvl="1">
      <w:start w:val="1"/>
      <w:numFmt w:val="decimal"/>
      <w:pStyle w:val="DListNumber2"/>
      <w:lvlText w:val="%1.%2."/>
      <w:lvlJc w:val="left"/>
      <w:pPr>
        <w:ind w:left="3624" w:hanging="432"/>
      </w:pPr>
    </w:lvl>
    <w:lvl w:ilvl="2">
      <w:start w:val="1"/>
      <w:numFmt w:val="decimal"/>
      <w:pStyle w:val="DListNumber3"/>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nsid w:val="0EC12588"/>
    <w:multiLevelType w:val="hybridMultilevel"/>
    <w:tmpl w:val="0A9A1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F113301"/>
    <w:multiLevelType w:val="hybridMultilevel"/>
    <w:tmpl w:val="EDDCC5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D62F8A"/>
    <w:multiLevelType w:val="hybridMultilevel"/>
    <w:tmpl w:val="0A9A1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22A7BAA"/>
    <w:multiLevelType w:val="hybridMultilevel"/>
    <w:tmpl w:val="0A9A1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255083A"/>
    <w:multiLevelType w:val="hybridMultilevel"/>
    <w:tmpl w:val="A7447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47D2C32"/>
    <w:multiLevelType w:val="hybridMultilevel"/>
    <w:tmpl w:val="80EE9B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82D253F"/>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87A40F7"/>
    <w:multiLevelType w:val="multilevel"/>
    <w:tmpl w:val="F8DCA9C0"/>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D86D2B"/>
    <w:multiLevelType w:val="hybridMultilevel"/>
    <w:tmpl w:val="C428A878"/>
    <w:lvl w:ilvl="0" w:tplc="6CC0951C">
      <w:numFmt w:val="bullet"/>
      <w:lvlText w:val="-"/>
      <w:lvlJc w:val="left"/>
      <w:pPr>
        <w:ind w:left="1060" w:hanging="700"/>
      </w:pPr>
      <w:rPr>
        <w:rFonts w:ascii="Open Sans" w:eastAsiaTheme="minorHAnsi" w:hAnsi="Ope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9E52A9"/>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F703963"/>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46A2D5D"/>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6B5231D"/>
    <w:multiLevelType w:val="hybridMultilevel"/>
    <w:tmpl w:val="83DC1084"/>
    <w:lvl w:ilvl="0" w:tplc="6CC0951C">
      <w:numFmt w:val="bullet"/>
      <w:lvlText w:val="-"/>
      <w:lvlJc w:val="left"/>
      <w:pPr>
        <w:ind w:left="1060" w:hanging="700"/>
      </w:pPr>
      <w:rPr>
        <w:rFonts w:ascii="Open Sans" w:eastAsiaTheme="minorHAnsi" w:hAnsi="Ope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A647071"/>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BC7232C"/>
    <w:multiLevelType w:val="hybridMultilevel"/>
    <w:tmpl w:val="0A9A1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2006F30"/>
    <w:multiLevelType w:val="hybridMultilevel"/>
    <w:tmpl w:val="CD5026DC"/>
    <w:lvl w:ilvl="0" w:tplc="4E14D8E2">
      <w:start w:val="1"/>
      <w:numFmt w:val="bullet"/>
      <w:lvlText w:val="•"/>
      <w:lvlJc w:val="left"/>
      <w:pPr>
        <w:tabs>
          <w:tab w:val="num" w:pos="720"/>
        </w:tabs>
        <w:ind w:left="720" w:hanging="360"/>
      </w:pPr>
      <w:rPr>
        <w:rFonts w:ascii="Arial" w:hAnsi="Arial" w:hint="default"/>
      </w:rPr>
    </w:lvl>
    <w:lvl w:ilvl="1" w:tplc="F4EE058E" w:tentative="1">
      <w:start w:val="1"/>
      <w:numFmt w:val="bullet"/>
      <w:lvlText w:val="•"/>
      <w:lvlJc w:val="left"/>
      <w:pPr>
        <w:tabs>
          <w:tab w:val="num" w:pos="1440"/>
        </w:tabs>
        <w:ind w:left="1440" w:hanging="360"/>
      </w:pPr>
      <w:rPr>
        <w:rFonts w:ascii="Arial" w:hAnsi="Arial" w:hint="default"/>
      </w:rPr>
    </w:lvl>
    <w:lvl w:ilvl="2" w:tplc="57CEFC98" w:tentative="1">
      <w:start w:val="1"/>
      <w:numFmt w:val="bullet"/>
      <w:lvlText w:val="•"/>
      <w:lvlJc w:val="left"/>
      <w:pPr>
        <w:tabs>
          <w:tab w:val="num" w:pos="2160"/>
        </w:tabs>
        <w:ind w:left="2160" w:hanging="360"/>
      </w:pPr>
      <w:rPr>
        <w:rFonts w:ascii="Arial" w:hAnsi="Arial" w:hint="default"/>
      </w:rPr>
    </w:lvl>
    <w:lvl w:ilvl="3" w:tplc="080AEB4A" w:tentative="1">
      <w:start w:val="1"/>
      <w:numFmt w:val="bullet"/>
      <w:lvlText w:val="•"/>
      <w:lvlJc w:val="left"/>
      <w:pPr>
        <w:tabs>
          <w:tab w:val="num" w:pos="2880"/>
        </w:tabs>
        <w:ind w:left="2880" w:hanging="360"/>
      </w:pPr>
      <w:rPr>
        <w:rFonts w:ascii="Arial" w:hAnsi="Arial" w:hint="default"/>
      </w:rPr>
    </w:lvl>
    <w:lvl w:ilvl="4" w:tplc="26AA9C5C" w:tentative="1">
      <w:start w:val="1"/>
      <w:numFmt w:val="bullet"/>
      <w:lvlText w:val="•"/>
      <w:lvlJc w:val="left"/>
      <w:pPr>
        <w:tabs>
          <w:tab w:val="num" w:pos="3600"/>
        </w:tabs>
        <w:ind w:left="3600" w:hanging="360"/>
      </w:pPr>
      <w:rPr>
        <w:rFonts w:ascii="Arial" w:hAnsi="Arial" w:hint="default"/>
      </w:rPr>
    </w:lvl>
    <w:lvl w:ilvl="5" w:tplc="E4E48472" w:tentative="1">
      <w:start w:val="1"/>
      <w:numFmt w:val="bullet"/>
      <w:lvlText w:val="•"/>
      <w:lvlJc w:val="left"/>
      <w:pPr>
        <w:tabs>
          <w:tab w:val="num" w:pos="4320"/>
        </w:tabs>
        <w:ind w:left="4320" w:hanging="360"/>
      </w:pPr>
      <w:rPr>
        <w:rFonts w:ascii="Arial" w:hAnsi="Arial" w:hint="default"/>
      </w:rPr>
    </w:lvl>
    <w:lvl w:ilvl="6" w:tplc="AFEEF270" w:tentative="1">
      <w:start w:val="1"/>
      <w:numFmt w:val="bullet"/>
      <w:lvlText w:val="•"/>
      <w:lvlJc w:val="left"/>
      <w:pPr>
        <w:tabs>
          <w:tab w:val="num" w:pos="5040"/>
        </w:tabs>
        <w:ind w:left="5040" w:hanging="360"/>
      </w:pPr>
      <w:rPr>
        <w:rFonts w:ascii="Arial" w:hAnsi="Arial" w:hint="default"/>
      </w:rPr>
    </w:lvl>
    <w:lvl w:ilvl="7" w:tplc="684C84A8" w:tentative="1">
      <w:start w:val="1"/>
      <w:numFmt w:val="bullet"/>
      <w:lvlText w:val="•"/>
      <w:lvlJc w:val="left"/>
      <w:pPr>
        <w:tabs>
          <w:tab w:val="num" w:pos="5760"/>
        </w:tabs>
        <w:ind w:left="5760" w:hanging="360"/>
      </w:pPr>
      <w:rPr>
        <w:rFonts w:ascii="Arial" w:hAnsi="Arial" w:hint="default"/>
      </w:rPr>
    </w:lvl>
    <w:lvl w:ilvl="8" w:tplc="98E892BE" w:tentative="1">
      <w:start w:val="1"/>
      <w:numFmt w:val="bullet"/>
      <w:lvlText w:val="•"/>
      <w:lvlJc w:val="left"/>
      <w:pPr>
        <w:tabs>
          <w:tab w:val="num" w:pos="6480"/>
        </w:tabs>
        <w:ind w:left="6480" w:hanging="360"/>
      </w:pPr>
      <w:rPr>
        <w:rFonts w:ascii="Arial" w:hAnsi="Arial" w:hint="default"/>
      </w:rPr>
    </w:lvl>
  </w:abstractNum>
  <w:abstractNum w:abstractNumId="23">
    <w:nsid w:val="36DF4A5A"/>
    <w:multiLevelType w:val="multilevel"/>
    <w:tmpl w:val="5044AA26"/>
    <w:lvl w:ilvl="0">
      <w:start w:val="1"/>
      <w:numFmt w:val="decimal"/>
      <w:pStyle w:val="berschrift1"/>
      <w:suff w:val="space"/>
      <w:lvlText w:val="%1 "/>
      <w:lvlJc w:val="left"/>
      <w:pPr>
        <w:ind w:left="0" w:firstLine="0"/>
      </w:pPr>
      <w:rPr>
        <w:rFonts w:hint="default"/>
      </w:rPr>
    </w:lvl>
    <w:lvl w:ilvl="1">
      <w:start w:val="1"/>
      <w:numFmt w:val="decimal"/>
      <w:pStyle w:val="berschrift2"/>
      <w:suff w:val="space"/>
      <w:lvlText w:val="%1.%2 "/>
      <w:lvlJc w:val="left"/>
      <w:pPr>
        <w:ind w:left="0" w:firstLine="0"/>
      </w:pPr>
      <w:rPr>
        <w:rFonts w:hint="default"/>
      </w:rPr>
    </w:lvl>
    <w:lvl w:ilvl="2">
      <w:start w:val="1"/>
      <w:numFmt w:val="decimal"/>
      <w:pStyle w:val="berschrift3"/>
      <w:suff w:val="space"/>
      <w:lvlText w:val="%1.%2.%3 "/>
      <w:lvlJc w:val="left"/>
      <w:pPr>
        <w:ind w:left="0" w:firstLine="0"/>
      </w:pPr>
      <w:rPr>
        <w:rFonts w:hint="default"/>
      </w:rPr>
    </w:lvl>
    <w:lvl w:ilvl="3">
      <w:start w:val="1"/>
      <w:numFmt w:val="decimal"/>
      <w:pStyle w:val="berschrift4"/>
      <w:suff w:val="space"/>
      <w:lvlText w:val="%1.%2.%3.%4 "/>
      <w:lvlJc w:val="left"/>
      <w:pPr>
        <w:ind w:left="0" w:firstLine="0"/>
      </w:pPr>
      <w:rPr>
        <w:rFonts w:hint="default"/>
      </w:rPr>
    </w:lvl>
    <w:lvl w:ilvl="4">
      <w:start w:val="1"/>
      <w:numFmt w:val="decimal"/>
      <w:pStyle w:val="berschrift5"/>
      <w:suff w:val="space"/>
      <w:lvlText w:val="%1.%2.%3.%4.%5 "/>
      <w:lvlJc w:val="left"/>
      <w:pPr>
        <w:ind w:left="0" w:firstLine="0"/>
      </w:pPr>
      <w:rPr>
        <w:rFonts w:hint="default"/>
      </w:rPr>
    </w:lvl>
    <w:lvl w:ilvl="5">
      <w:start w:val="1"/>
      <w:numFmt w:val="decimal"/>
      <w:pStyle w:val="berschrift6"/>
      <w:suff w:val="space"/>
      <w:lvlText w:val="%1.%2.%3.%4.%5.%6 "/>
      <w:lvlJc w:val="left"/>
      <w:pPr>
        <w:ind w:left="0" w:firstLine="0"/>
      </w:pPr>
      <w:rPr>
        <w:rFonts w:hint="default"/>
      </w:rPr>
    </w:lvl>
    <w:lvl w:ilvl="6">
      <w:start w:val="1"/>
      <w:numFmt w:val="decimal"/>
      <w:pStyle w:val="berschrift7"/>
      <w:suff w:val="space"/>
      <w:lvlText w:val="%1.%2.%3.%4.%5.%6.%7 "/>
      <w:lvlJc w:val="left"/>
      <w:pPr>
        <w:ind w:left="0" w:firstLine="0"/>
      </w:pPr>
      <w:rPr>
        <w:rFonts w:hint="default"/>
      </w:rPr>
    </w:lvl>
    <w:lvl w:ilvl="7">
      <w:start w:val="1"/>
      <w:numFmt w:val="decimal"/>
      <w:pStyle w:val="berschrift8"/>
      <w:suff w:val="space"/>
      <w:lvlText w:val="%1.%2.%3.%4.%5.%6.%7.%8 "/>
      <w:lvlJc w:val="left"/>
      <w:pPr>
        <w:ind w:left="0" w:firstLine="0"/>
      </w:pPr>
      <w:rPr>
        <w:rFonts w:hint="default"/>
      </w:rPr>
    </w:lvl>
    <w:lvl w:ilvl="8">
      <w:start w:val="1"/>
      <w:numFmt w:val="decimal"/>
      <w:pStyle w:val="berschrift9"/>
      <w:suff w:val="space"/>
      <w:lvlText w:val="%1.%2.%3.%4.%5.%6.%7.%8.%9 "/>
      <w:lvlJc w:val="left"/>
      <w:pPr>
        <w:ind w:left="0" w:firstLine="0"/>
      </w:pPr>
      <w:rPr>
        <w:rFonts w:hint="default"/>
      </w:rPr>
    </w:lvl>
  </w:abstractNum>
  <w:abstractNum w:abstractNumId="24">
    <w:nsid w:val="38182553"/>
    <w:multiLevelType w:val="hybridMultilevel"/>
    <w:tmpl w:val="1098E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FBC4D78"/>
    <w:multiLevelType w:val="hybridMultilevel"/>
    <w:tmpl w:val="0A9A1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4442BBC"/>
    <w:multiLevelType w:val="hybridMultilevel"/>
    <w:tmpl w:val="1F3A6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4BA5950"/>
    <w:multiLevelType w:val="hybridMultilevel"/>
    <w:tmpl w:val="18420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61679D5"/>
    <w:multiLevelType w:val="hybridMultilevel"/>
    <w:tmpl w:val="0A9A1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A542F65"/>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A6A0003"/>
    <w:multiLevelType w:val="hybridMultilevel"/>
    <w:tmpl w:val="238E4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B623788"/>
    <w:multiLevelType w:val="hybridMultilevel"/>
    <w:tmpl w:val="A2C4B992"/>
    <w:lvl w:ilvl="0" w:tplc="C3F418F4">
      <w:start w:val="1"/>
      <w:numFmt w:val="bullet"/>
      <w:pStyle w:val="DListBullet2"/>
      <w:lvlText w:val="o"/>
      <w:lvlJc w:val="left"/>
      <w:pPr>
        <w:ind w:left="87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ï‚§"/>
      <w:lvlJc w:val="left"/>
      <w:pPr>
        <w:ind w:left="2670" w:hanging="360"/>
      </w:pPr>
      <w:rPr>
        <w:rFonts w:ascii="Wingdings" w:hAnsi="Wingdings" w:hint="default"/>
      </w:rPr>
    </w:lvl>
    <w:lvl w:ilvl="3" w:tplc="04090001" w:tentative="1">
      <w:start w:val="1"/>
      <w:numFmt w:val="bullet"/>
      <w:lvlText w:val="ï‚·"/>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ï‚§"/>
      <w:lvlJc w:val="left"/>
      <w:pPr>
        <w:ind w:left="4830" w:hanging="360"/>
      </w:pPr>
      <w:rPr>
        <w:rFonts w:ascii="Wingdings" w:hAnsi="Wingdings" w:hint="default"/>
      </w:rPr>
    </w:lvl>
    <w:lvl w:ilvl="6" w:tplc="04090001" w:tentative="1">
      <w:start w:val="1"/>
      <w:numFmt w:val="bullet"/>
      <w:lvlText w:val="ï‚·"/>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ï‚§"/>
      <w:lvlJc w:val="left"/>
      <w:pPr>
        <w:ind w:left="6990" w:hanging="360"/>
      </w:pPr>
      <w:rPr>
        <w:rFonts w:ascii="Wingdings" w:hAnsi="Wingdings" w:hint="default"/>
      </w:rPr>
    </w:lvl>
  </w:abstractNum>
  <w:abstractNum w:abstractNumId="32">
    <w:nsid w:val="4F8A1E83"/>
    <w:multiLevelType w:val="hybridMultilevel"/>
    <w:tmpl w:val="8ADCC3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03245AD"/>
    <w:multiLevelType w:val="hybridMultilevel"/>
    <w:tmpl w:val="967A3F40"/>
    <w:lvl w:ilvl="0" w:tplc="6CC0951C">
      <w:numFmt w:val="bullet"/>
      <w:lvlText w:val="-"/>
      <w:lvlJc w:val="left"/>
      <w:pPr>
        <w:ind w:left="1060" w:hanging="700"/>
      </w:pPr>
      <w:rPr>
        <w:rFonts w:ascii="Open Sans" w:eastAsiaTheme="minorHAnsi" w:hAnsi="Ope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370470B"/>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3B20C07"/>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41C0214"/>
    <w:multiLevelType w:val="hybridMultilevel"/>
    <w:tmpl w:val="C2EC7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96D73F8"/>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D9C7526"/>
    <w:multiLevelType w:val="hybridMultilevel"/>
    <w:tmpl w:val="41444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1693E38"/>
    <w:multiLevelType w:val="hybridMultilevel"/>
    <w:tmpl w:val="41ACC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B6F516D"/>
    <w:multiLevelType w:val="hybridMultilevel"/>
    <w:tmpl w:val="CCB0F34A"/>
    <w:lvl w:ilvl="0" w:tplc="9CA87A3C">
      <w:start w:val="1"/>
      <w:numFmt w:val="bullet"/>
      <w:pStyle w:val="DListBullet3"/>
      <w:lvlText w:val=""/>
      <w:lvlJc w:val="left"/>
      <w:pPr>
        <w:ind w:left="108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ï‚§"/>
      <w:lvlJc w:val="left"/>
      <w:pPr>
        <w:ind w:left="2670" w:hanging="360"/>
      </w:pPr>
      <w:rPr>
        <w:rFonts w:ascii="Wingdings" w:hAnsi="Wingdings" w:hint="default"/>
      </w:rPr>
    </w:lvl>
    <w:lvl w:ilvl="3" w:tplc="04090001" w:tentative="1">
      <w:start w:val="1"/>
      <w:numFmt w:val="bullet"/>
      <w:lvlText w:val="ï‚·"/>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ï‚§"/>
      <w:lvlJc w:val="left"/>
      <w:pPr>
        <w:ind w:left="4830" w:hanging="360"/>
      </w:pPr>
      <w:rPr>
        <w:rFonts w:ascii="Wingdings" w:hAnsi="Wingdings" w:hint="default"/>
      </w:rPr>
    </w:lvl>
    <w:lvl w:ilvl="6" w:tplc="04090001" w:tentative="1">
      <w:start w:val="1"/>
      <w:numFmt w:val="bullet"/>
      <w:lvlText w:val="ï‚·"/>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ï‚§"/>
      <w:lvlJc w:val="left"/>
      <w:pPr>
        <w:ind w:left="6990" w:hanging="360"/>
      </w:pPr>
      <w:rPr>
        <w:rFonts w:ascii="Wingdings" w:hAnsi="Wingdings" w:hint="default"/>
      </w:rPr>
    </w:lvl>
  </w:abstractNum>
  <w:abstractNum w:abstractNumId="41">
    <w:nsid w:val="6D2327AF"/>
    <w:multiLevelType w:val="hybridMultilevel"/>
    <w:tmpl w:val="48345252"/>
    <w:lvl w:ilvl="0" w:tplc="6CC0951C">
      <w:numFmt w:val="bullet"/>
      <w:lvlText w:val="-"/>
      <w:lvlJc w:val="left"/>
      <w:pPr>
        <w:ind w:left="1060" w:hanging="700"/>
      </w:pPr>
      <w:rPr>
        <w:rFonts w:ascii="Open Sans" w:eastAsiaTheme="minorHAnsi" w:hAnsi="Ope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E2F469D"/>
    <w:multiLevelType w:val="hybridMultilevel"/>
    <w:tmpl w:val="0A9A1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1E06083"/>
    <w:multiLevelType w:val="hybridMultilevel"/>
    <w:tmpl w:val="7A86F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2BD0C14"/>
    <w:multiLevelType w:val="hybridMultilevel"/>
    <w:tmpl w:val="10806D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6B2547C"/>
    <w:multiLevelType w:val="multilevel"/>
    <w:tmpl w:val="9E30353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
  </w:num>
  <w:num w:numId="3">
    <w:abstractNumId w:val="31"/>
  </w:num>
  <w:num w:numId="4">
    <w:abstractNumId w:val="40"/>
  </w:num>
  <w:num w:numId="5">
    <w:abstractNumId w:val="6"/>
  </w:num>
  <w:num w:numId="6">
    <w:abstractNumId w:val="13"/>
  </w:num>
  <w:num w:numId="7">
    <w:abstractNumId w:val="17"/>
  </w:num>
  <w:num w:numId="8">
    <w:abstractNumId w:val="16"/>
  </w:num>
  <w:num w:numId="9">
    <w:abstractNumId w:val="37"/>
  </w:num>
  <w:num w:numId="10">
    <w:abstractNumId w:val="18"/>
  </w:num>
  <w:num w:numId="11">
    <w:abstractNumId w:val="38"/>
  </w:num>
  <w:num w:numId="12">
    <w:abstractNumId w:val="20"/>
  </w:num>
  <w:num w:numId="13">
    <w:abstractNumId w:val="34"/>
  </w:num>
  <w:num w:numId="14">
    <w:abstractNumId w:val="3"/>
  </w:num>
  <w:num w:numId="15">
    <w:abstractNumId w:val="35"/>
  </w:num>
  <w:num w:numId="16">
    <w:abstractNumId w:val="29"/>
  </w:num>
  <w:num w:numId="17">
    <w:abstractNumId w:val="7"/>
  </w:num>
  <w:num w:numId="18">
    <w:abstractNumId w:val="21"/>
  </w:num>
  <w:num w:numId="19">
    <w:abstractNumId w:val="25"/>
  </w:num>
  <w:num w:numId="20">
    <w:abstractNumId w:val="10"/>
  </w:num>
  <w:num w:numId="21">
    <w:abstractNumId w:val="42"/>
  </w:num>
  <w:num w:numId="22">
    <w:abstractNumId w:val="9"/>
  </w:num>
  <w:num w:numId="23">
    <w:abstractNumId w:val="28"/>
  </w:num>
  <w:num w:numId="24">
    <w:abstractNumId w:val="8"/>
  </w:num>
  <w:num w:numId="25">
    <w:abstractNumId w:val="22"/>
  </w:num>
  <w:num w:numId="26">
    <w:abstractNumId w:val="23"/>
  </w:num>
  <w:num w:numId="27">
    <w:abstractNumId w:val="23"/>
  </w:num>
  <w:num w:numId="28">
    <w:abstractNumId w:val="12"/>
  </w:num>
  <w:num w:numId="29">
    <w:abstractNumId w:val="32"/>
  </w:num>
  <w:num w:numId="30">
    <w:abstractNumId w:val="1"/>
  </w:num>
  <w:num w:numId="31">
    <w:abstractNumId w:val="39"/>
  </w:num>
  <w:num w:numId="32">
    <w:abstractNumId w:val="30"/>
  </w:num>
  <w:num w:numId="33">
    <w:abstractNumId w:val="24"/>
  </w:num>
  <w:num w:numId="34">
    <w:abstractNumId w:val="11"/>
  </w:num>
  <w:num w:numId="35">
    <w:abstractNumId w:val="44"/>
  </w:num>
  <w:num w:numId="36">
    <w:abstractNumId w:val="43"/>
  </w:num>
  <w:num w:numId="37">
    <w:abstractNumId w:val="0"/>
  </w:num>
  <w:num w:numId="38">
    <w:abstractNumId w:val="26"/>
  </w:num>
  <w:num w:numId="39">
    <w:abstractNumId w:val="5"/>
  </w:num>
  <w:num w:numId="40">
    <w:abstractNumId w:val="45"/>
  </w:num>
  <w:num w:numId="41">
    <w:abstractNumId w:val="14"/>
  </w:num>
  <w:num w:numId="42">
    <w:abstractNumId w:val="4"/>
  </w:num>
  <w:num w:numId="43">
    <w:abstractNumId w:val="36"/>
  </w:num>
  <w:num w:numId="44">
    <w:abstractNumId w:val="15"/>
  </w:num>
  <w:num w:numId="45">
    <w:abstractNumId w:val="41"/>
  </w:num>
  <w:num w:numId="46">
    <w:abstractNumId w:val="33"/>
  </w:num>
  <w:num w:numId="47">
    <w:abstractNumId w:val="19"/>
  </w:num>
  <w:num w:numId="4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1"/>
  <w:hideSpellingErrors/>
  <w:proofState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BD"/>
    <w:rsid w:val="000004A3"/>
    <w:rsid w:val="00004467"/>
    <w:rsid w:val="00004A34"/>
    <w:rsid w:val="000060AF"/>
    <w:rsid w:val="00006913"/>
    <w:rsid w:val="000132BB"/>
    <w:rsid w:val="00013858"/>
    <w:rsid w:val="00014C22"/>
    <w:rsid w:val="000155A7"/>
    <w:rsid w:val="000175B7"/>
    <w:rsid w:val="00021939"/>
    <w:rsid w:val="000236E1"/>
    <w:rsid w:val="0002792C"/>
    <w:rsid w:val="00030136"/>
    <w:rsid w:val="0003220D"/>
    <w:rsid w:val="0003708E"/>
    <w:rsid w:val="00040607"/>
    <w:rsid w:val="000411CA"/>
    <w:rsid w:val="000443F7"/>
    <w:rsid w:val="00046C42"/>
    <w:rsid w:val="0005129F"/>
    <w:rsid w:val="00051420"/>
    <w:rsid w:val="00060B4F"/>
    <w:rsid w:val="0006344F"/>
    <w:rsid w:val="0006508E"/>
    <w:rsid w:val="00067D59"/>
    <w:rsid w:val="00070F6C"/>
    <w:rsid w:val="00071540"/>
    <w:rsid w:val="000737B2"/>
    <w:rsid w:val="00074A87"/>
    <w:rsid w:val="00074D3D"/>
    <w:rsid w:val="000773E0"/>
    <w:rsid w:val="00080793"/>
    <w:rsid w:val="00083A91"/>
    <w:rsid w:val="00083FAD"/>
    <w:rsid w:val="00084238"/>
    <w:rsid w:val="00085865"/>
    <w:rsid w:val="000871CA"/>
    <w:rsid w:val="000872C4"/>
    <w:rsid w:val="000901EF"/>
    <w:rsid w:val="0009309C"/>
    <w:rsid w:val="00096054"/>
    <w:rsid w:val="00097018"/>
    <w:rsid w:val="00097C6F"/>
    <w:rsid w:val="000A0D23"/>
    <w:rsid w:val="000A4629"/>
    <w:rsid w:val="000A5BF2"/>
    <w:rsid w:val="000B013D"/>
    <w:rsid w:val="000B090A"/>
    <w:rsid w:val="000B2E13"/>
    <w:rsid w:val="000B459A"/>
    <w:rsid w:val="000B5228"/>
    <w:rsid w:val="000B55D7"/>
    <w:rsid w:val="000B5979"/>
    <w:rsid w:val="000B5F59"/>
    <w:rsid w:val="000B70EE"/>
    <w:rsid w:val="000B7E96"/>
    <w:rsid w:val="000C4D00"/>
    <w:rsid w:val="000D17F0"/>
    <w:rsid w:val="000D3DA9"/>
    <w:rsid w:val="000D5978"/>
    <w:rsid w:val="000E3286"/>
    <w:rsid w:val="000E5967"/>
    <w:rsid w:val="000E6E7C"/>
    <w:rsid w:val="000E7A01"/>
    <w:rsid w:val="000F258A"/>
    <w:rsid w:val="0010049B"/>
    <w:rsid w:val="00100C9C"/>
    <w:rsid w:val="0010160A"/>
    <w:rsid w:val="001020A0"/>
    <w:rsid w:val="001052A5"/>
    <w:rsid w:val="0010561B"/>
    <w:rsid w:val="00107496"/>
    <w:rsid w:val="00107DB2"/>
    <w:rsid w:val="001138EE"/>
    <w:rsid w:val="001147F1"/>
    <w:rsid w:val="001148F6"/>
    <w:rsid w:val="001217B5"/>
    <w:rsid w:val="001217F2"/>
    <w:rsid w:val="001223E2"/>
    <w:rsid w:val="001242FD"/>
    <w:rsid w:val="001244A3"/>
    <w:rsid w:val="00124E28"/>
    <w:rsid w:val="00125A67"/>
    <w:rsid w:val="00126507"/>
    <w:rsid w:val="00127A5C"/>
    <w:rsid w:val="00127A60"/>
    <w:rsid w:val="00135948"/>
    <w:rsid w:val="00137D9F"/>
    <w:rsid w:val="00137F34"/>
    <w:rsid w:val="00141BA3"/>
    <w:rsid w:val="00144B65"/>
    <w:rsid w:val="00146C78"/>
    <w:rsid w:val="00150336"/>
    <w:rsid w:val="00151D31"/>
    <w:rsid w:val="00152836"/>
    <w:rsid w:val="001576DE"/>
    <w:rsid w:val="001632B1"/>
    <w:rsid w:val="0016421D"/>
    <w:rsid w:val="00166FEC"/>
    <w:rsid w:val="001672E5"/>
    <w:rsid w:val="00171049"/>
    <w:rsid w:val="00172BAF"/>
    <w:rsid w:val="00175116"/>
    <w:rsid w:val="00182220"/>
    <w:rsid w:val="0018422B"/>
    <w:rsid w:val="00184C16"/>
    <w:rsid w:val="00184FB1"/>
    <w:rsid w:val="00187A60"/>
    <w:rsid w:val="00195A70"/>
    <w:rsid w:val="00195C1B"/>
    <w:rsid w:val="001A556B"/>
    <w:rsid w:val="001A6648"/>
    <w:rsid w:val="001A6CEF"/>
    <w:rsid w:val="001B1979"/>
    <w:rsid w:val="001B2A64"/>
    <w:rsid w:val="001B4859"/>
    <w:rsid w:val="001B4E85"/>
    <w:rsid w:val="001B5BED"/>
    <w:rsid w:val="001B66F1"/>
    <w:rsid w:val="001B6B8F"/>
    <w:rsid w:val="001B7E94"/>
    <w:rsid w:val="001C0FD0"/>
    <w:rsid w:val="001C3003"/>
    <w:rsid w:val="001C56F3"/>
    <w:rsid w:val="001C754A"/>
    <w:rsid w:val="001D0CD7"/>
    <w:rsid w:val="001D1FD6"/>
    <w:rsid w:val="001D2570"/>
    <w:rsid w:val="001D5028"/>
    <w:rsid w:val="001D744A"/>
    <w:rsid w:val="001E4BA6"/>
    <w:rsid w:val="001E4F26"/>
    <w:rsid w:val="001E5850"/>
    <w:rsid w:val="001E58B3"/>
    <w:rsid w:val="001F00D0"/>
    <w:rsid w:val="001F0E98"/>
    <w:rsid w:val="001F156D"/>
    <w:rsid w:val="001F422E"/>
    <w:rsid w:val="001F56D1"/>
    <w:rsid w:val="001F67C1"/>
    <w:rsid w:val="001F774D"/>
    <w:rsid w:val="002027E2"/>
    <w:rsid w:val="00202A32"/>
    <w:rsid w:val="00204F7D"/>
    <w:rsid w:val="00206304"/>
    <w:rsid w:val="002065C9"/>
    <w:rsid w:val="00210A8B"/>
    <w:rsid w:val="00221A0E"/>
    <w:rsid w:val="0022293B"/>
    <w:rsid w:val="00226596"/>
    <w:rsid w:val="00227379"/>
    <w:rsid w:val="00227B3E"/>
    <w:rsid w:val="00230C57"/>
    <w:rsid w:val="00230C8B"/>
    <w:rsid w:val="002313C5"/>
    <w:rsid w:val="00231A8A"/>
    <w:rsid w:val="00241D36"/>
    <w:rsid w:val="0025473C"/>
    <w:rsid w:val="00255F93"/>
    <w:rsid w:val="002564ED"/>
    <w:rsid w:val="0026140D"/>
    <w:rsid w:val="00262128"/>
    <w:rsid w:val="002644EF"/>
    <w:rsid w:val="00264F98"/>
    <w:rsid w:val="00273899"/>
    <w:rsid w:val="0027461C"/>
    <w:rsid w:val="00274B67"/>
    <w:rsid w:val="00275105"/>
    <w:rsid w:val="00277113"/>
    <w:rsid w:val="00277158"/>
    <w:rsid w:val="002805B0"/>
    <w:rsid w:val="00283079"/>
    <w:rsid w:val="0028452D"/>
    <w:rsid w:val="0028680E"/>
    <w:rsid w:val="00286D57"/>
    <w:rsid w:val="00286E05"/>
    <w:rsid w:val="002873CF"/>
    <w:rsid w:val="00290AE4"/>
    <w:rsid w:val="00292674"/>
    <w:rsid w:val="0029479A"/>
    <w:rsid w:val="00297525"/>
    <w:rsid w:val="00297B5A"/>
    <w:rsid w:val="002A0A2C"/>
    <w:rsid w:val="002A3D56"/>
    <w:rsid w:val="002A5EEC"/>
    <w:rsid w:val="002B0241"/>
    <w:rsid w:val="002B3A79"/>
    <w:rsid w:val="002C04B9"/>
    <w:rsid w:val="002C05CE"/>
    <w:rsid w:val="002C14C6"/>
    <w:rsid w:val="002C1745"/>
    <w:rsid w:val="002C2E64"/>
    <w:rsid w:val="002C641E"/>
    <w:rsid w:val="002C66A5"/>
    <w:rsid w:val="002C7D50"/>
    <w:rsid w:val="002D013B"/>
    <w:rsid w:val="002D0AE0"/>
    <w:rsid w:val="002D0F4D"/>
    <w:rsid w:val="002D3CE2"/>
    <w:rsid w:val="002D64AB"/>
    <w:rsid w:val="002D6602"/>
    <w:rsid w:val="002D7199"/>
    <w:rsid w:val="002D747B"/>
    <w:rsid w:val="002E05C3"/>
    <w:rsid w:val="002E2A36"/>
    <w:rsid w:val="002E2CD6"/>
    <w:rsid w:val="002E6439"/>
    <w:rsid w:val="002F0DBE"/>
    <w:rsid w:val="002F23BA"/>
    <w:rsid w:val="002F270E"/>
    <w:rsid w:val="002F2F7C"/>
    <w:rsid w:val="002F31BF"/>
    <w:rsid w:val="002F3740"/>
    <w:rsid w:val="003021C0"/>
    <w:rsid w:val="0030408A"/>
    <w:rsid w:val="0030409D"/>
    <w:rsid w:val="00304604"/>
    <w:rsid w:val="00306326"/>
    <w:rsid w:val="003076CD"/>
    <w:rsid w:val="00314DBD"/>
    <w:rsid w:val="0032018B"/>
    <w:rsid w:val="003224C0"/>
    <w:rsid w:val="0032354F"/>
    <w:rsid w:val="003237E2"/>
    <w:rsid w:val="00324448"/>
    <w:rsid w:val="00331129"/>
    <w:rsid w:val="003331A7"/>
    <w:rsid w:val="00337299"/>
    <w:rsid w:val="00342413"/>
    <w:rsid w:val="00342B3A"/>
    <w:rsid w:val="00350DB7"/>
    <w:rsid w:val="00351131"/>
    <w:rsid w:val="003544D0"/>
    <w:rsid w:val="00356E58"/>
    <w:rsid w:val="00357AC0"/>
    <w:rsid w:val="00363A79"/>
    <w:rsid w:val="00365F8E"/>
    <w:rsid w:val="00366532"/>
    <w:rsid w:val="00372680"/>
    <w:rsid w:val="00373E02"/>
    <w:rsid w:val="0037623E"/>
    <w:rsid w:val="00380850"/>
    <w:rsid w:val="00381BF5"/>
    <w:rsid w:val="0038277A"/>
    <w:rsid w:val="00383A95"/>
    <w:rsid w:val="00391852"/>
    <w:rsid w:val="003939B9"/>
    <w:rsid w:val="003978A6"/>
    <w:rsid w:val="003A03CE"/>
    <w:rsid w:val="003A11BA"/>
    <w:rsid w:val="003A19B8"/>
    <w:rsid w:val="003A2000"/>
    <w:rsid w:val="003A40F6"/>
    <w:rsid w:val="003A4CA4"/>
    <w:rsid w:val="003A7963"/>
    <w:rsid w:val="003B18D2"/>
    <w:rsid w:val="003B2D76"/>
    <w:rsid w:val="003B6531"/>
    <w:rsid w:val="003C1725"/>
    <w:rsid w:val="003C3866"/>
    <w:rsid w:val="003D073B"/>
    <w:rsid w:val="003D13CD"/>
    <w:rsid w:val="003D32CF"/>
    <w:rsid w:val="003E1509"/>
    <w:rsid w:val="003E1D37"/>
    <w:rsid w:val="003E1E63"/>
    <w:rsid w:val="003E278C"/>
    <w:rsid w:val="003E4027"/>
    <w:rsid w:val="003E7BF4"/>
    <w:rsid w:val="003F2D8D"/>
    <w:rsid w:val="003F5D6A"/>
    <w:rsid w:val="003F78B7"/>
    <w:rsid w:val="0040604F"/>
    <w:rsid w:val="00407A1C"/>
    <w:rsid w:val="00407B27"/>
    <w:rsid w:val="00413E6A"/>
    <w:rsid w:val="004159C0"/>
    <w:rsid w:val="004162FA"/>
    <w:rsid w:val="004167E7"/>
    <w:rsid w:val="00417A8B"/>
    <w:rsid w:val="00417D24"/>
    <w:rsid w:val="00417E3B"/>
    <w:rsid w:val="00421795"/>
    <w:rsid w:val="004233DE"/>
    <w:rsid w:val="00424B71"/>
    <w:rsid w:val="004301E1"/>
    <w:rsid w:val="0043077B"/>
    <w:rsid w:val="004356CC"/>
    <w:rsid w:val="004362D3"/>
    <w:rsid w:val="00436CE8"/>
    <w:rsid w:val="004403E7"/>
    <w:rsid w:val="004414A8"/>
    <w:rsid w:val="004416F7"/>
    <w:rsid w:val="00442CD0"/>
    <w:rsid w:val="0044655A"/>
    <w:rsid w:val="004474D1"/>
    <w:rsid w:val="0044764B"/>
    <w:rsid w:val="0045070D"/>
    <w:rsid w:val="00451A75"/>
    <w:rsid w:val="00451D17"/>
    <w:rsid w:val="00452721"/>
    <w:rsid w:val="00453493"/>
    <w:rsid w:val="00457FA8"/>
    <w:rsid w:val="00460F2D"/>
    <w:rsid w:val="00463721"/>
    <w:rsid w:val="00463E91"/>
    <w:rsid w:val="0046734A"/>
    <w:rsid w:val="004728E0"/>
    <w:rsid w:val="004772B3"/>
    <w:rsid w:val="00484AF5"/>
    <w:rsid w:val="00485C3A"/>
    <w:rsid w:val="004864A4"/>
    <w:rsid w:val="00486ECE"/>
    <w:rsid w:val="00487CAC"/>
    <w:rsid w:val="0049021F"/>
    <w:rsid w:val="004A1B50"/>
    <w:rsid w:val="004A2197"/>
    <w:rsid w:val="004A3951"/>
    <w:rsid w:val="004A4652"/>
    <w:rsid w:val="004A6760"/>
    <w:rsid w:val="004B29BD"/>
    <w:rsid w:val="004B3477"/>
    <w:rsid w:val="004B4971"/>
    <w:rsid w:val="004B6A1C"/>
    <w:rsid w:val="004B7C6B"/>
    <w:rsid w:val="004C05DF"/>
    <w:rsid w:val="004C087E"/>
    <w:rsid w:val="004C2FA9"/>
    <w:rsid w:val="004C71AF"/>
    <w:rsid w:val="004C77FD"/>
    <w:rsid w:val="004D1E94"/>
    <w:rsid w:val="004D20D5"/>
    <w:rsid w:val="004D40EF"/>
    <w:rsid w:val="004D416B"/>
    <w:rsid w:val="004D47D5"/>
    <w:rsid w:val="004D4C55"/>
    <w:rsid w:val="004D4DB9"/>
    <w:rsid w:val="004D4E74"/>
    <w:rsid w:val="004D7F34"/>
    <w:rsid w:val="004E270E"/>
    <w:rsid w:val="004E29CB"/>
    <w:rsid w:val="004E2B45"/>
    <w:rsid w:val="004E3AC2"/>
    <w:rsid w:val="004E4667"/>
    <w:rsid w:val="004E4C17"/>
    <w:rsid w:val="004E773F"/>
    <w:rsid w:val="004E7764"/>
    <w:rsid w:val="004F2749"/>
    <w:rsid w:val="004F33B5"/>
    <w:rsid w:val="004F5D1E"/>
    <w:rsid w:val="004F7084"/>
    <w:rsid w:val="0050073E"/>
    <w:rsid w:val="00502EE9"/>
    <w:rsid w:val="005044FE"/>
    <w:rsid w:val="005051D7"/>
    <w:rsid w:val="00507458"/>
    <w:rsid w:val="00507823"/>
    <w:rsid w:val="005111AB"/>
    <w:rsid w:val="005121D3"/>
    <w:rsid w:val="00513CB1"/>
    <w:rsid w:val="005143C7"/>
    <w:rsid w:val="005161D2"/>
    <w:rsid w:val="00520969"/>
    <w:rsid w:val="00520A5F"/>
    <w:rsid w:val="00521593"/>
    <w:rsid w:val="00524095"/>
    <w:rsid w:val="00524480"/>
    <w:rsid w:val="0052471B"/>
    <w:rsid w:val="00524EB7"/>
    <w:rsid w:val="005257DC"/>
    <w:rsid w:val="00530377"/>
    <w:rsid w:val="0053404F"/>
    <w:rsid w:val="0053407A"/>
    <w:rsid w:val="005341C2"/>
    <w:rsid w:val="00534AFD"/>
    <w:rsid w:val="0053585A"/>
    <w:rsid w:val="0053589E"/>
    <w:rsid w:val="00535DCA"/>
    <w:rsid w:val="005372C0"/>
    <w:rsid w:val="0054113F"/>
    <w:rsid w:val="00542DE6"/>
    <w:rsid w:val="00546448"/>
    <w:rsid w:val="00553235"/>
    <w:rsid w:val="0055348A"/>
    <w:rsid w:val="00553D0C"/>
    <w:rsid w:val="00554029"/>
    <w:rsid w:val="00554046"/>
    <w:rsid w:val="00557712"/>
    <w:rsid w:val="00561011"/>
    <w:rsid w:val="00572CC4"/>
    <w:rsid w:val="00575716"/>
    <w:rsid w:val="00575F01"/>
    <w:rsid w:val="00580A6E"/>
    <w:rsid w:val="005813B3"/>
    <w:rsid w:val="00587997"/>
    <w:rsid w:val="00587C99"/>
    <w:rsid w:val="005918E6"/>
    <w:rsid w:val="005934E4"/>
    <w:rsid w:val="0059407B"/>
    <w:rsid w:val="005941CB"/>
    <w:rsid w:val="00594A62"/>
    <w:rsid w:val="00595B95"/>
    <w:rsid w:val="00596033"/>
    <w:rsid w:val="005A39D9"/>
    <w:rsid w:val="005A6F3E"/>
    <w:rsid w:val="005B03C7"/>
    <w:rsid w:val="005B07E5"/>
    <w:rsid w:val="005B507C"/>
    <w:rsid w:val="005B65E6"/>
    <w:rsid w:val="005C0C10"/>
    <w:rsid w:val="005C269B"/>
    <w:rsid w:val="005C2950"/>
    <w:rsid w:val="005C633E"/>
    <w:rsid w:val="005C7BA0"/>
    <w:rsid w:val="005D240F"/>
    <w:rsid w:val="005D2DA8"/>
    <w:rsid w:val="005D43F0"/>
    <w:rsid w:val="005D4497"/>
    <w:rsid w:val="005D69A5"/>
    <w:rsid w:val="005D7338"/>
    <w:rsid w:val="005E29EC"/>
    <w:rsid w:val="005E4177"/>
    <w:rsid w:val="005F0EA5"/>
    <w:rsid w:val="005F125B"/>
    <w:rsid w:val="005F3EDA"/>
    <w:rsid w:val="005F58D3"/>
    <w:rsid w:val="0060066D"/>
    <w:rsid w:val="006049F0"/>
    <w:rsid w:val="006055FB"/>
    <w:rsid w:val="0060687D"/>
    <w:rsid w:val="00606E35"/>
    <w:rsid w:val="006142E3"/>
    <w:rsid w:val="00614758"/>
    <w:rsid w:val="0061494B"/>
    <w:rsid w:val="006155B4"/>
    <w:rsid w:val="00621893"/>
    <w:rsid w:val="00621F01"/>
    <w:rsid w:val="006231E4"/>
    <w:rsid w:val="00626C35"/>
    <w:rsid w:val="00627B80"/>
    <w:rsid w:val="00636D09"/>
    <w:rsid w:val="00642034"/>
    <w:rsid w:val="0064226C"/>
    <w:rsid w:val="00642CF4"/>
    <w:rsid w:val="00642D9B"/>
    <w:rsid w:val="0064350F"/>
    <w:rsid w:val="00643D15"/>
    <w:rsid w:val="00644130"/>
    <w:rsid w:val="006465D5"/>
    <w:rsid w:val="006473A7"/>
    <w:rsid w:val="00647E6C"/>
    <w:rsid w:val="006516F9"/>
    <w:rsid w:val="00656353"/>
    <w:rsid w:val="006610CA"/>
    <w:rsid w:val="00661911"/>
    <w:rsid w:val="0066202C"/>
    <w:rsid w:val="00662914"/>
    <w:rsid w:val="00667139"/>
    <w:rsid w:val="00670481"/>
    <w:rsid w:val="00673944"/>
    <w:rsid w:val="006747F6"/>
    <w:rsid w:val="00675E2E"/>
    <w:rsid w:val="006813EC"/>
    <w:rsid w:val="00685540"/>
    <w:rsid w:val="00686BD6"/>
    <w:rsid w:val="00686CD9"/>
    <w:rsid w:val="00691D3B"/>
    <w:rsid w:val="00692338"/>
    <w:rsid w:val="00692CDB"/>
    <w:rsid w:val="00694F04"/>
    <w:rsid w:val="00695B3A"/>
    <w:rsid w:val="00696BA9"/>
    <w:rsid w:val="00696CA1"/>
    <w:rsid w:val="006A05A4"/>
    <w:rsid w:val="006A44FD"/>
    <w:rsid w:val="006A577B"/>
    <w:rsid w:val="006A5F7E"/>
    <w:rsid w:val="006A6732"/>
    <w:rsid w:val="006B1C7E"/>
    <w:rsid w:val="006B2C68"/>
    <w:rsid w:val="006B3F28"/>
    <w:rsid w:val="006B70D5"/>
    <w:rsid w:val="006C04BD"/>
    <w:rsid w:val="006C168D"/>
    <w:rsid w:val="006C20E7"/>
    <w:rsid w:val="006C38A3"/>
    <w:rsid w:val="006C5100"/>
    <w:rsid w:val="006D044F"/>
    <w:rsid w:val="006D13D3"/>
    <w:rsid w:val="006D14D8"/>
    <w:rsid w:val="006D3AA1"/>
    <w:rsid w:val="006E0D02"/>
    <w:rsid w:val="006E12B6"/>
    <w:rsid w:val="006E1695"/>
    <w:rsid w:val="006E2597"/>
    <w:rsid w:val="006E43E4"/>
    <w:rsid w:val="006E6B2A"/>
    <w:rsid w:val="006E7B43"/>
    <w:rsid w:val="006E7B45"/>
    <w:rsid w:val="006F0042"/>
    <w:rsid w:val="006F04CB"/>
    <w:rsid w:val="006F05BE"/>
    <w:rsid w:val="006F3752"/>
    <w:rsid w:val="006F4562"/>
    <w:rsid w:val="007005AD"/>
    <w:rsid w:val="00701F68"/>
    <w:rsid w:val="007033B4"/>
    <w:rsid w:val="007058CA"/>
    <w:rsid w:val="007066BA"/>
    <w:rsid w:val="00706B72"/>
    <w:rsid w:val="007158C1"/>
    <w:rsid w:val="00716D83"/>
    <w:rsid w:val="0072279A"/>
    <w:rsid w:val="00725570"/>
    <w:rsid w:val="007263BC"/>
    <w:rsid w:val="00730AD9"/>
    <w:rsid w:val="007311E1"/>
    <w:rsid w:val="007339AB"/>
    <w:rsid w:val="00735762"/>
    <w:rsid w:val="00736F26"/>
    <w:rsid w:val="00740CE0"/>
    <w:rsid w:val="00740DBA"/>
    <w:rsid w:val="0074160E"/>
    <w:rsid w:val="00742626"/>
    <w:rsid w:val="00742C0E"/>
    <w:rsid w:val="00750CAB"/>
    <w:rsid w:val="00751852"/>
    <w:rsid w:val="00752C4F"/>
    <w:rsid w:val="00754059"/>
    <w:rsid w:val="0075619C"/>
    <w:rsid w:val="00756650"/>
    <w:rsid w:val="007609D8"/>
    <w:rsid w:val="00760A27"/>
    <w:rsid w:val="00762CE7"/>
    <w:rsid w:val="00763829"/>
    <w:rsid w:val="0076590D"/>
    <w:rsid w:val="00766D44"/>
    <w:rsid w:val="007677B0"/>
    <w:rsid w:val="007717C5"/>
    <w:rsid w:val="007731C4"/>
    <w:rsid w:val="00773DCC"/>
    <w:rsid w:val="00774620"/>
    <w:rsid w:val="00774646"/>
    <w:rsid w:val="00775CE5"/>
    <w:rsid w:val="00776B66"/>
    <w:rsid w:val="00777198"/>
    <w:rsid w:val="0078069A"/>
    <w:rsid w:val="00782E8F"/>
    <w:rsid w:val="00783C23"/>
    <w:rsid w:val="00784C83"/>
    <w:rsid w:val="0078527B"/>
    <w:rsid w:val="007871DF"/>
    <w:rsid w:val="007874E5"/>
    <w:rsid w:val="007903BD"/>
    <w:rsid w:val="00790BDF"/>
    <w:rsid w:val="00791C56"/>
    <w:rsid w:val="00794BFE"/>
    <w:rsid w:val="00794EEA"/>
    <w:rsid w:val="00796B8F"/>
    <w:rsid w:val="007A03A8"/>
    <w:rsid w:val="007A0541"/>
    <w:rsid w:val="007A1BE8"/>
    <w:rsid w:val="007A2F48"/>
    <w:rsid w:val="007A372E"/>
    <w:rsid w:val="007A40CE"/>
    <w:rsid w:val="007A663E"/>
    <w:rsid w:val="007A7F0B"/>
    <w:rsid w:val="007B3D0B"/>
    <w:rsid w:val="007B44A0"/>
    <w:rsid w:val="007B60F0"/>
    <w:rsid w:val="007B639D"/>
    <w:rsid w:val="007B7718"/>
    <w:rsid w:val="007C17C6"/>
    <w:rsid w:val="007C1BE8"/>
    <w:rsid w:val="007C1D63"/>
    <w:rsid w:val="007C2BE1"/>
    <w:rsid w:val="007C4835"/>
    <w:rsid w:val="007C4CCD"/>
    <w:rsid w:val="007D64D2"/>
    <w:rsid w:val="007E054F"/>
    <w:rsid w:val="007E059B"/>
    <w:rsid w:val="007E4AFD"/>
    <w:rsid w:val="007E54E8"/>
    <w:rsid w:val="007F19D6"/>
    <w:rsid w:val="007F3643"/>
    <w:rsid w:val="007F6FEA"/>
    <w:rsid w:val="007F71A3"/>
    <w:rsid w:val="00801F78"/>
    <w:rsid w:val="00804AA6"/>
    <w:rsid w:val="00807881"/>
    <w:rsid w:val="008116B8"/>
    <w:rsid w:val="00811D11"/>
    <w:rsid w:val="008147AF"/>
    <w:rsid w:val="00815026"/>
    <w:rsid w:val="00815D83"/>
    <w:rsid w:val="00815DE3"/>
    <w:rsid w:val="008173EE"/>
    <w:rsid w:val="008202A2"/>
    <w:rsid w:val="00821F9A"/>
    <w:rsid w:val="008230EB"/>
    <w:rsid w:val="00831C9C"/>
    <w:rsid w:val="00832984"/>
    <w:rsid w:val="00833D3C"/>
    <w:rsid w:val="008368E6"/>
    <w:rsid w:val="008379FF"/>
    <w:rsid w:val="00837C24"/>
    <w:rsid w:val="00840296"/>
    <w:rsid w:val="00840A16"/>
    <w:rsid w:val="00840C12"/>
    <w:rsid w:val="0084257D"/>
    <w:rsid w:val="008437B3"/>
    <w:rsid w:val="0084461F"/>
    <w:rsid w:val="008540CD"/>
    <w:rsid w:val="00854A48"/>
    <w:rsid w:val="008550E9"/>
    <w:rsid w:val="00857FD9"/>
    <w:rsid w:val="00862951"/>
    <w:rsid w:val="00862E2C"/>
    <w:rsid w:val="008712B1"/>
    <w:rsid w:val="00872845"/>
    <w:rsid w:val="00872AA7"/>
    <w:rsid w:val="008735B9"/>
    <w:rsid w:val="00875CA2"/>
    <w:rsid w:val="00877354"/>
    <w:rsid w:val="008810E8"/>
    <w:rsid w:val="008813B2"/>
    <w:rsid w:val="00882E46"/>
    <w:rsid w:val="008845BB"/>
    <w:rsid w:val="0088681F"/>
    <w:rsid w:val="008901CF"/>
    <w:rsid w:val="00892067"/>
    <w:rsid w:val="00893148"/>
    <w:rsid w:val="00894015"/>
    <w:rsid w:val="008958FF"/>
    <w:rsid w:val="0089732E"/>
    <w:rsid w:val="0089773B"/>
    <w:rsid w:val="00897DA7"/>
    <w:rsid w:val="008A1724"/>
    <w:rsid w:val="008A4014"/>
    <w:rsid w:val="008A55C0"/>
    <w:rsid w:val="008A574E"/>
    <w:rsid w:val="008B3757"/>
    <w:rsid w:val="008B3E13"/>
    <w:rsid w:val="008B7787"/>
    <w:rsid w:val="008C2228"/>
    <w:rsid w:val="008C3ED5"/>
    <w:rsid w:val="008C484C"/>
    <w:rsid w:val="008E000A"/>
    <w:rsid w:val="008E046E"/>
    <w:rsid w:val="008E12AA"/>
    <w:rsid w:val="008E592B"/>
    <w:rsid w:val="008F282E"/>
    <w:rsid w:val="008F34E6"/>
    <w:rsid w:val="008F4DC3"/>
    <w:rsid w:val="008F56C9"/>
    <w:rsid w:val="0090210B"/>
    <w:rsid w:val="00905CAD"/>
    <w:rsid w:val="00907E27"/>
    <w:rsid w:val="00910705"/>
    <w:rsid w:val="00912D27"/>
    <w:rsid w:val="00913B17"/>
    <w:rsid w:val="0092088C"/>
    <w:rsid w:val="00920C9A"/>
    <w:rsid w:val="00920D3C"/>
    <w:rsid w:val="009227A9"/>
    <w:rsid w:val="00926907"/>
    <w:rsid w:val="00926B8B"/>
    <w:rsid w:val="00927450"/>
    <w:rsid w:val="00935A51"/>
    <w:rsid w:val="00940E64"/>
    <w:rsid w:val="00941C4B"/>
    <w:rsid w:val="00944D7E"/>
    <w:rsid w:val="009451B5"/>
    <w:rsid w:val="00947F14"/>
    <w:rsid w:val="009502A2"/>
    <w:rsid w:val="0095045B"/>
    <w:rsid w:val="009577D1"/>
    <w:rsid w:val="00960EBF"/>
    <w:rsid w:val="0096158C"/>
    <w:rsid w:val="0096588C"/>
    <w:rsid w:val="009714A2"/>
    <w:rsid w:val="00972BDC"/>
    <w:rsid w:val="00981B57"/>
    <w:rsid w:val="00983471"/>
    <w:rsid w:val="00984AFD"/>
    <w:rsid w:val="00987AD7"/>
    <w:rsid w:val="00991067"/>
    <w:rsid w:val="00991117"/>
    <w:rsid w:val="00991266"/>
    <w:rsid w:val="00992BF9"/>
    <w:rsid w:val="00994BA9"/>
    <w:rsid w:val="0099551C"/>
    <w:rsid w:val="009966E1"/>
    <w:rsid w:val="00996DC0"/>
    <w:rsid w:val="00997CEF"/>
    <w:rsid w:val="009A4D2A"/>
    <w:rsid w:val="009A53F7"/>
    <w:rsid w:val="009A5DDA"/>
    <w:rsid w:val="009A62FD"/>
    <w:rsid w:val="009A69BD"/>
    <w:rsid w:val="009A7F54"/>
    <w:rsid w:val="009B227F"/>
    <w:rsid w:val="009B2293"/>
    <w:rsid w:val="009B2A98"/>
    <w:rsid w:val="009B35B1"/>
    <w:rsid w:val="009B3C3A"/>
    <w:rsid w:val="009B4384"/>
    <w:rsid w:val="009C0CF0"/>
    <w:rsid w:val="009C202A"/>
    <w:rsid w:val="009C3CBC"/>
    <w:rsid w:val="009C3EFD"/>
    <w:rsid w:val="009C40FE"/>
    <w:rsid w:val="009C5578"/>
    <w:rsid w:val="009C5C05"/>
    <w:rsid w:val="009C7888"/>
    <w:rsid w:val="009D0885"/>
    <w:rsid w:val="009D51A6"/>
    <w:rsid w:val="009D6CFC"/>
    <w:rsid w:val="009E4366"/>
    <w:rsid w:val="009E617E"/>
    <w:rsid w:val="009F6639"/>
    <w:rsid w:val="009F7AF8"/>
    <w:rsid w:val="00A003F1"/>
    <w:rsid w:val="00A014C1"/>
    <w:rsid w:val="00A04602"/>
    <w:rsid w:val="00A077F2"/>
    <w:rsid w:val="00A10544"/>
    <w:rsid w:val="00A10D12"/>
    <w:rsid w:val="00A147A1"/>
    <w:rsid w:val="00A14DF5"/>
    <w:rsid w:val="00A152A9"/>
    <w:rsid w:val="00A23B46"/>
    <w:rsid w:val="00A24437"/>
    <w:rsid w:val="00A250DC"/>
    <w:rsid w:val="00A26385"/>
    <w:rsid w:val="00A279BE"/>
    <w:rsid w:val="00A27A3F"/>
    <w:rsid w:val="00A27C16"/>
    <w:rsid w:val="00A32425"/>
    <w:rsid w:val="00A34DEF"/>
    <w:rsid w:val="00A35A6F"/>
    <w:rsid w:val="00A36C4E"/>
    <w:rsid w:val="00A43CD5"/>
    <w:rsid w:val="00A536AA"/>
    <w:rsid w:val="00A61C66"/>
    <w:rsid w:val="00A624ED"/>
    <w:rsid w:val="00A646EE"/>
    <w:rsid w:val="00A656A7"/>
    <w:rsid w:val="00A707B1"/>
    <w:rsid w:val="00A7258A"/>
    <w:rsid w:val="00A80497"/>
    <w:rsid w:val="00A8366E"/>
    <w:rsid w:val="00A843D0"/>
    <w:rsid w:val="00A84674"/>
    <w:rsid w:val="00A8710C"/>
    <w:rsid w:val="00A87A8F"/>
    <w:rsid w:val="00A93BBC"/>
    <w:rsid w:val="00A95614"/>
    <w:rsid w:val="00A97D16"/>
    <w:rsid w:val="00AA0637"/>
    <w:rsid w:val="00AA2A97"/>
    <w:rsid w:val="00AB060F"/>
    <w:rsid w:val="00AB0747"/>
    <w:rsid w:val="00AB5DC8"/>
    <w:rsid w:val="00AC3611"/>
    <w:rsid w:val="00AC4127"/>
    <w:rsid w:val="00AD3971"/>
    <w:rsid w:val="00AD4C5B"/>
    <w:rsid w:val="00AD5D87"/>
    <w:rsid w:val="00AD726F"/>
    <w:rsid w:val="00AE02DC"/>
    <w:rsid w:val="00AE0610"/>
    <w:rsid w:val="00AE168B"/>
    <w:rsid w:val="00AE5EEA"/>
    <w:rsid w:val="00AE62A2"/>
    <w:rsid w:val="00AE62C3"/>
    <w:rsid w:val="00AF1619"/>
    <w:rsid w:val="00AF31A9"/>
    <w:rsid w:val="00AF361C"/>
    <w:rsid w:val="00AF6429"/>
    <w:rsid w:val="00B0120D"/>
    <w:rsid w:val="00B019A1"/>
    <w:rsid w:val="00B0255D"/>
    <w:rsid w:val="00B02C40"/>
    <w:rsid w:val="00B074AD"/>
    <w:rsid w:val="00B108D2"/>
    <w:rsid w:val="00B14D36"/>
    <w:rsid w:val="00B15D74"/>
    <w:rsid w:val="00B1746E"/>
    <w:rsid w:val="00B23EA3"/>
    <w:rsid w:val="00B26372"/>
    <w:rsid w:val="00B27824"/>
    <w:rsid w:val="00B27E2A"/>
    <w:rsid w:val="00B31E4F"/>
    <w:rsid w:val="00B32033"/>
    <w:rsid w:val="00B32225"/>
    <w:rsid w:val="00B329E5"/>
    <w:rsid w:val="00B3540E"/>
    <w:rsid w:val="00B37B16"/>
    <w:rsid w:val="00B40185"/>
    <w:rsid w:val="00B424FA"/>
    <w:rsid w:val="00B50052"/>
    <w:rsid w:val="00B50ECA"/>
    <w:rsid w:val="00B54FD3"/>
    <w:rsid w:val="00B555CA"/>
    <w:rsid w:val="00B560C4"/>
    <w:rsid w:val="00B62C1E"/>
    <w:rsid w:val="00B634F7"/>
    <w:rsid w:val="00B63927"/>
    <w:rsid w:val="00B64A14"/>
    <w:rsid w:val="00B7030E"/>
    <w:rsid w:val="00B75B89"/>
    <w:rsid w:val="00B80EF9"/>
    <w:rsid w:val="00B8187C"/>
    <w:rsid w:val="00B864E8"/>
    <w:rsid w:val="00B8775A"/>
    <w:rsid w:val="00B8778B"/>
    <w:rsid w:val="00B900E1"/>
    <w:rsid w:val="00B90E45"/>
    <w:rsid w:val="00B90FCB"/>
    <w:rsid w:val="00B910BC"/>
    <w:rsid w:val="00B91EC4"/>
    <w:rsid w:val="00B92588"/>
    <w:rsid w:val="00B92BDA"/>
    <w:rsid w:val="00B94DCF"/>
    <w:rsid w:val="00BA2635"/>
    <w:rsid w:val="00BA515D"/>
    <w:rsid w:val="00BA5A72"/>
    <w:rsid w:val="00BA5B8E"/>
    <w:rsid w:val="00BB0847"/>
    <w:rsid w:val="00BB3E19"/>
    <w:rsid w:val="00BB78D9"/>
    <w:rsid w:val="00BB7E46"/>
    <w:rsid w:val="00BC120D"/>
    <w:rsid w:val="00BC3C0F"/>
    <w:rsid w:val="00BC4B61"/>
    <w:rsid w:val="00BC4CF3"/>
    <w:rsid w:val="00BD06B4"/>
    <w:rsid w:val="00BD39E8"/>
    <w:rsid w:val="00BD427F"/>
    <w:rsid w:val="00BD4840"/>
    <w:rsid w:val="00BD4F80"/>
    <w:rsid w:val="00BF04FF"/>
    <w:rsid w:val="00BF1B93"/>
    <w:rsid w:val="00BF1F7F"/>
    <w:rsid w:val="00BF2EDB"/>
    <w:rsid w:val="00BF5577"/>
    <w:rsid w:val="00BF5755"/>
    <w:rsid w:val="00BF6239"/>
    <w:rsid w:val="00BF6CFA"/>
    <w:rsid w:val="00BF7CB9"/>
    <w:rsid w:val="00C01013"/>
    <w:rsid w:val="00C033B3"/>
    <w:rsid w:val="00C036FB"/>
    <w:rsid w:val="00C04A56"/>
    <w:rsid w:val="00C0664A"/>
    <w:rsid w:val="00C06D6A"/>
    <w:rsid w:val="00C11164"/>
    <w:rsid w:val="00C14015"/>
    <w:rsid w:val="00C15573"/>
    <w:rsid w:val="00C15DDF"/>
    <w:rsid w:val="00C1663C"/>
    <w:rsid w:val="00C172D1"/>
    <w:rsid w:val="00C17B0C"/>
    <w:rsid w:val="00C17EEB"/>
    <w:rsid w:val="00C2102A"/>
    <w:rsid w:val="00C24246"/>
    <w:rsid w:val="00C24AD1"/>
    <w:rsid w:val="00C2555F"/>
    <w:rsid w:val="00C27AC4"/>
    <w:rsid w:val="00C3176E"/>
    <w:rsid w:val="00C32764"/>
    <w:rsid w:val="00C32F93"/>
    <w:rsid w:val="00C33E95"/>
    <w:rsid w:val="00C34B87"/>
    <w:rsid w:val="00C35C95"/>
    <w:rsid w:val="00C44CE8"/>
    <w:rsid w:val="00C46109"/>
    <w:rsid w:val="00C4627B"/>
    <w:rsid w:val="00C46428"/>
    <w:rsid w:val="00C50039"/>
    <w:rsid w:val="00C522B0"/>
    <w:rsid w:val="00C53C6F"/>
    <w:rsid w:val="00C55C98"/>
    <w:rsid w:val="00C56140"/>
    <w:rsid w:val="00C60CA0"/>
    <w:rsid w:val="00C63640"/>
    <w:rsid w:val="00C652DB"/>
    <w:rsid w:val="00C67B4B"/>
    <w:rsid w:val="00C75470"/>
    <w:rsid w:val="00C75DC1"/>
    <w:rsid w:val="00C77F99"/>
    <w:rsid w:val="00C8124F"/>
    <w:rsid w:val="00C83E75"/>
    <w:rsid w:val="00C91425"/>
    <w:rsid w:val="00C91E1E"/>
    <w:rsid w:val="00C92623"/>
    <w:rsid w:val="00C938AB"/>
    <w:rsid w:val="00C95117"/>
    <w:rsid w:val="00C95255"/>
    <w:rsid w:val="00CA0441"/>
    <w:rsid w:val="00CA21C5"/>
    <w:rsid w:val="00CA3ADB"/>
    <w:rsid w:val="00CA4602"/>
    <w:rsid w:val="00CA4B2F"/>
    <w:rsid w:val="00CA4CAA"/>
    <w:rsid w:val="00CA517A"/>
    <w:rsid w:val="00CA592D"/>
    <w:rsid w:val="00CA7841"/>
    <w:rsid w:val="00CB1787"/>
    <w:rsid w:val="00CB3C1E"/>
    <w:rsid w:val="00CB5ED4"/>
    <w:rsid w:val="00CC14D5"/>
    <w:rsid w:val="00CC1AA1"/>
    <w:rsid w:val="00CC7A80"/>
    <w:rsid w:val="00CC7BD2"/>
    <w:rsid w:val="00CD36B4"/>
    <w:rsid w:val="00CD73BA"/>
    <w:rsid w:val="00CD7B2C"/>
    <w:rsid w:val="00CE115E"/>
    <w:rsid w:val="00CE2CFB"/>
    <w:rsid w:val="00CE3E39"/>
    <w:rsid w:val="00CE43CA"/>
    <w:rsid w:val="00CE5BAF"/>
    <w:rsid w:val="00CE6995"/>
    <w:rsid w:val="00CE6E11"/>
    <w:rsid w:val="00CF236B"/>
    <w:rsid w:val="00CF2571"/>
    <w:rsid w:val="00CF37F8"/>
    <w:rsid w:val="00CF38DA"/>
    <w:rsid w:val="00CF41B3"/>
    <w:rsid w:val="00CF4500"/>
    <w:rsid w:val="00CF63FF"/>
    <w:rsid w:val="00D00AD8"/>
    <w:rsid w:val="00D0193C"/>
    <w:rsid w:val="00D04C84"/>
    <w:rsid w:val="00D07ECB"/>
    <w:rsid w:val="00D1167E"/>
    <w:rsid w:val="00D11DAB"/>
    <w:rsid w:val="00D11F1A"/>
    <w:rsid w:val="00D14013"/>
    <w:rsid w:val="00D2067D"/>
    <w:rsid w:val="00D23361"/>
    <w:rsid w:val="00D2540E"/>
    <w:rsid w:val="00D27AF5"/>
    <w:rsid w:val="00D30FD6"/>
    <w:rsid w:val="00D333BA"/>
    <w:rsid w:val="00D34A21"/>
    <w:rsid w:val="00D34F0E"/>
    <w:rsid w:val="00D356F0"/>
    <w:rsid w:val="00D36FBB"/>
    <w:rsid w:val="00D4123E"/>
    <w:rsid w:val="00D4374A"/>
    <w:rsid w:val="00D4446A"/>
    <w:rsid w:val="00D4489B"/>
    <w:rsid w:val="00D4579F"/>
    <w:rsid w:val="00D464D3"/>
    <w:rsid w:val="00D50EC2"/>
    <w:rsid w:val="00D51DFA"/>
    <w:rsid w:val="00D60708"/>
    <w:rsid w:val="00D63440"/>
    <w:rsid w:val="00D7118A"/>
    <w:rsid w:val="00D720DF"/>
    <w:rsid w:val="00D742CC"/>
    <w:rsid w:val="00D745F4"/>
    <w:rsid w:val="00D75CA4"/>
    <w:rsid w:val="00D76BA2"/>
    <w:rsid w:val="00D80E35"/>
    <w:rsid w:val="00D82F12"/>
    <w:rsid w:val="00D83E96"/>
    <w:rsid w:val="00D846EF"/>
    <w:rsid w:val="00D95660"/>
    <w:rsid w:val="00D959A8"/>
    <w:rsid w:val="00D95DE0"/>
    <w:rsid w:val="00D96495"/>
    <w:rsid w:val="00D96BE7"/>
    <w:rsid w:val="00D972D3"/>
    <w:rsid w:val="00D97660"/>
    <w:rsid w:val="00DA45F2"/>
    <w:rsid w:val="00DA612D"/>
    <w:rsid w:val="00DA65EE"/>
    <w:rsid w:val="00DA6F5E"/>
    <w:rsid w:val="00DB124B"/>
    <w:rsid w:val="00DB14EA"/>
    <w:rsid w:val="00DB156F"/>
    <w:rsid w:val="00DB2CC0"/>
    <w:rsid w:val="00DC3141"/>
    <w:rsid w:val="00DC4A65"/>
    <w:rsid w:val="00DC50FE"/>
    <w:rsid w:val="00DD184C"/>
    <w:rsid w:val="00DD20EA"/>
    <w:rsid w:val="00DD76D1"/>
    <w:rsid w:val="00DE044E"/>
    <w:rsid w:val="00DE0C0E"/>
    <w:rsid w:val="00DE3C37"/>
    <w:rsid w:val="00DE5191"/>
    <w:rsid w:val="00DE52E9"/>
    <w:rsid w:val="00DE609C"/>
    <w:rsid w:val="00DF0ACB"/>
    <w:rsid w:val="00DF1209"/>
    <w:rsid w:val="00DF4EEE"/>
    <w:rsid w:val="00DF74FC"/>
    <w:rsid w:val="00E014AC"/>
    <w:rsid w:val="00E02C41"/>
    <w:rsid w:val="00E03525"/>
    <w:rsid w:val="00E03914"/>
    <w:rsid w:val="00E06F2A"/>
    <w:rsid w:val="00E073BA"/>
    <w:rsid w:val="00E16445"/>
    <w:rsid w:val="00E16B3C"/>
    <w:rsid w:val="00E17217"/>
    <w:rsid w:val="00E207B4"/>
    <w:rsid w:val="00E221C3"/>
    <w:rsid w:val="00E243E8"/>
    <w:rsid w:val="00E25895"/>
    <w:rsid w:val="00E266B8"/>
    <w:rsid w:val="00E30F1F"/>
    <w:rsid w:val="00E32836"/>
    <w:rsid w:val="00E32CAA"/>
    <w:rsid w:val="00E32FE7"/>
    <w:rsid w:val="00E333CF"/>
    <w:rsid w:val="00E33B6C"/>
    <w:rsid w:val="00E34A23"/>
    <w:rsid w:val="00E36DA4"/>
    <w:rsid w:val="00E449BE"/>
    <w:rsid w:val="00E45124"/>
    <w:rsid w:val="00E46E07"/>
    <w:rsid w:val="00E47754"/>
    <w:rsid w:val="00E520EB"/>
    <w:rsid w:val="00E659C3"/>
    <w:rsid w:val="00E70A65"/>
    <w:rsid w:val="00E716D4"/>
    <w:rsid w:val="00E72ED2"/>
    <w:rsid w:val="00E742A8"/>
    <w:rsid w:val="00E7584F"/>
    <w:rsid w:val="00E833F0"/>
    <w:rsid w:val="00E833F2"/>
    <w:rsid w:val="00E86F93"/>
    <w:rsid w:val="00E879B4"/>
    <w:rsid w:val="00E91CEB"/>
    <w:rsid w:val="00E92D5A"/>
    <w:rsid w:val="00E930B6"/>
    <w:rsid w:val="00E94C3A"/>
    <w:rsid w:val="00E95347"/>
    <w:rsid w:val="00E96874"/>
    <w:rsid w:val="00E9708A"/>
    <w:rsid w:val="00EA0D6A"/>
    <w:rsid w:val="00EA2391"/>
    <w:rsid w:val="00EA2977"/>
    <w:rsid w:val="00EA66C8"/>
    <w:rsid w:val="00EA7251"/>
    <w:rsid w:val="00EA7C6E"/>
    <w:rsid w:val="00EA7F3C"/>
    <w:rsid w:val="00EB1CA9"/>
    <w:rsid w:val="00EB1E0A"/>
    <w:rsid w:val="00EB2CA9"/>
    <w:rsid w:val="00EB2FC6"/>
    <w:rsid w:val="00EB5C3D"/>
    <w:rsid w:val="00EB60F7"/>
    <w:rsid w:val="00EC105D"/>
    <w:rsid w:val="00EC15AD"/>
    <w:rsid w:val="00ED0D1A"/>
    <w:rsid w:val="00ED2655"/>
    <w:rsid w:val="00ED2722"/>
    <w:rsid w:val="00ED3AEB"/>
    <w:rsid w:val="00ED710B"/>
    <w:rsid w:val="00EE1541"/>
    <w:rsid w:val="00EE3781"/>
    <w:rsid w:val="00EE714B"/>
    <w:rsid w:val="00EF062E"/>
    <w:rsid w:val="00EF0D56"/>
    <w:rsid w:val="00EF1495"/>
    <w:rsid w:val="00EF1E4E"/>
    <w:rsid w:val="00EF2C36"/>
    <w:rsid w:val="00EF47EE"/>
    <w:rsid w:val="00EF5439"/>
    <w:rsid w:val="00F00526"/>
    <w:rsid w:val="00F00529"/>
    <w:rsid w:val="00F024F8"/>
    <w:rsid w:val="00F029E5"/>
    <w:rsid w:val="00F0610F"/>
    <w:rsid w:val="00F06548"/>
    <w:rsid w:val="00F07B6F"/>
    <w:rsid w:val="00F149A8"/>
    <w:rsid w:val="00F237ED"/>
    <w:rsid w:val="00F23D5C"/>
    <w:rsid w:val="00F24238"/>
    <w:rsid w:val="00F36E5F"/>
    <w:rsid w:val="00F40CA1"/>
    <w:rsid w:val="00F42AC5"/>
    <w:rsid w:val="00F439FB"/>
    <w:rsid w:val="00F43D10"/>
    <w:rsid w:val="00F460B7"/>
    <w:rsid w:val="00F46DB1"/>
    <w:rsid w:val="00F47AEC"/>
    <w:rsid w:val="00F50234"/>
    <w:rsid w:val="00F52D51"/>
    <w:rsid w:val="00F5318B"/>
    <w:rsid w:val="00F53324"/>
    <w:rsid w:val="00F53660"/>
    <w:rsid w:val="00F6082E"/>
    <w:rsid w:val="00F6115D"/>
    <w:rsid w:val="00F63D70"/>
    <w:rsid w:val="00F66C6E"/>
    <w:rsid w:val="00F73C20"/>
    <w:rsid w:val="00F7401F"/>
    <w:rsid w:val="00F7554D"/>
    <w:rsid w:val="00F83237"/>
    <w:rsid w:val="00F8488F"/>
    <w:rsid w:val="00F855C4"/>
    <w:rsid w:val="00F877D2"/>
    <w:rsid w:val="00F87F88"/>
    <w:rsid w:val="00F95BE2"/>
    <w:rsid w:val="00F962E5"/>
    <w:rsid w:val="00F96A63"/>
    <w:rsid w:val="00FA029F"/>
    <w:rsid w:val="00FA066F"/>
    <w:rsid w:val="00FA224B"/>
    <w:rsid w:val="00FA3309"/>
    <w:rsid w:val="00FB058D"/>
    <w:rsid w:val="00FB0754"/>
    <w:rsid w:val="00FB2556"/>
    <w:rsid w:val="00FB4D31"/>
    <w:rsid w:val="00FB6DC8"/>
    <w:rsid w:val="00FB766A"/>
    <w:rsid w:val="00FC330B"/>
    <w:rsid w:val="00FC3AE7"/>
    <w:rsid w:val="00FC554C"/>
    <w:rsid w:val="00FD1032"/>
    <w:rsid w:val="00FD152E"/>
    <w:rsid w:val="00FD177B"/>
    <w:rsid w:val="00FD4B28"/>
    <w:rsid w:val="00FD59FD"/>
    <w:rsid w:val="00FD7652"/>
    <w:rsid w:val="00FE1215"/>
    <w:rsid w:val="00FE1FD1"/>
    <w:rsid w:val="00FE3A8E"/>
    <w:rsid w:val="00FE6E3C"/>
    <w:rsid w:val="00FE7629"/>
    <w:rsid w:val="00FE7C5C"/>
    <w:rsid w:val="00FF03C7"/>
    <w:rsid w:val="00FF2563"/>
    <w:rsid w:val="00FF3061"/>
    <w:rsid w:val="00FF58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D2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color w:val="3D3D3C"/>
        <w:szCs w:val="22"/>
        <w:lang w:val="de-AT"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60A27"/>
    <w:pPr>
      <w:spacing w:before="120" w:after="120" w:line="0" w:lineRule="atLeast"/>
    </w:pPr>
  </w:style>
  <w:style w:type="paragraph" w:styleId="berschrift1">
    <w:name w:val="heading 1"/>
    <w:basedOn w:val="Standard"/>
    <w:next w:val="Standard"/>
    <w:link w:val="berschrift1Zchn"/>
    <w:qFormat/>
    <w:rsid w:val="00A26385"/>
    <w:pPr>
      <w:keepNext/>
      <w:numPr>
        <w:numId w:val="1"/>
      </w:numPr>
      <w:spacing w:before="400" w:after="180" w:line="240" w:lineRule="auto"/>
      <w:outlineLvl w:val="0"/>
    </w:pPr>
    <w:rPr>
      <w:rFonts w:eastAsia="Times New Roman" w:cs="Times New Roman"/>
      <w:bCs/>
      <w:color w:val="003D76"/>
      <w:sz w:val="24"/>
      <w:szCs w:val="24"/>
      <w:lang w:eastAsia="de-DE"/>
    </w:rPr>
  </w:style>
  <w:style w:type="paragraph" w:styleId="berschrift2">
    <w:name w:val="heading 2"/>
    <w:basedOn w:val="berschrift1"/>
    <w:next w:val="Standard"/>
    <w:link w:val="berschrift2Zchn"/>
    <w:qFormat/>
    <w:rsid w:val="00AD726F"/>
    <w:pPr>
      <w:numPr>
        <w:ilvl w:val="1"/>
      </w:numPr>
      <w:spacing w:before="300"/>
      <w:outlineLvl w:val="1"/>
    </w:pPr>
    <w:rPr>
      <w:bCs w:val="0"/>
    </w:rPr>
  </w:style>
  <w:style w:type="paragraph" w:styleId="berschrift3">
    <w:name w:val="heading 3"/>
    <w:basedOn w:val="berschrift2"/>
    <w:next w:val="Standard"/>
    <w:link w:val="berschrift3Zchn"/>
    <w:qFormat/>
    <w:rsid w:val="00AD726F"/>
    <w:pPr>
      <w:numPr>
        <w:ilvl w:val="2"/>
      </w:numPr>
      <w:spacing w:line="220" w:lineRule="atLeast"/>
      <w:outlineLvl w:val="2"/>
    </w:pPr>
    <w:rPr>
      <w:bCs/>
      <w:sz w:val="22"/>
    </w:rPr>
  </w:style>
  <w:style w:type="paragraph" w:styleId="berschrift4">
    <w:name w:val="heading 4"/>
    <w:basedOn w:val="berschrift3"/>
    <w:next w:val="Standard"/>
    <w:link w:val="berschrift4Zchn"/>
    <w:qFormat/>
    <w:rsid w:val="00AD726F"/>
    <w:pPr>
      <w:numPr>
        <w:ilvl w:val="3"/>
      </w:numPr>
      <w:outlineLvl w:val="3"/>
    </w:pPr>
  </w:style>
  <w:style w:type="paragraph" w:styleId="berschrift5">
    <w:name w:val="heading 5"/>
    <w:basedOn w:val="berschrift4"/>
    <w:next w:val="Standard"/>
    <w:link w:val="berschrift5Zchn"/>
    <w:qFormat/>
    <w:rsid w:val="00AD726F"/>
    <w:pPr>
      <w:numPr>
        <w:ilvl w:val="4"/>
      </w:numPr>
      <w:outlineLvl w:val="4"/>
    </w:pPr>
    <w:rPr>
      <w:bCs w:val="0"/>
      <w:iCs/>
      <w:szCs w:val="26"/>
    </w:rPr>
  </w:style>
  <w:style w:type="paragraph" w:styleId="berschrift6">
    <w:name w:val="heading 6"/>
    <w:basedOn w:val="berschrift5"/>
    <w:next w:val="Standard"/>
    <w:link w:val="berschrift6Zchn"/>
    <w:uiPriority w:val="1"/>
    <w:rsid w:val="00AD726F"/>
    <w:pPr>
      <w:numPr>
        <w:ilvl w:val="5"/>
      </w:numPr>
      <w:outlineLvl w:val="5"/>
    </w:pPr>
    <w:rPr>
      <w:bCs/>
      <w:szCs w:val="22"/>
    </w:rPr>
  </w:style>
  <w:style w:type="paragraph" w:styleId="berschrift7">
    <w:name w:val="heading 7"/>
    <w:basedOn w:val="berschrift6"/>
    <w:next w:val="Standard"/>
    <w:link w:val="berschrift7Zchn"/>
    <w:uiPriority w:val="1"/>
    <w:semiHidden/>
    <w:qFormat/>
    <w:rsid w:val="00686BD6"/>
    <w:pPr>
      <w:keepLines/>
      <w:numPr>
        <w:ilvl w:val="6"/>
      </w:numPr>
      <w:ind w:left="1304" w:hanging="1304"/>
      <w:outlineLvl w:val="6"/>
    </w:pPr>
    <w:rPr>
      <w:rFonts w:eastAsiaTheme="majorEastAsia" w:cstheme="majorBidi"/>
      <w:iCs w:val="0"/>
    </w:rPr>
  </w:style>
  <w:style w:type="paragraph" w:styleId="berschrift8">
    <w:name w:val="heading 8"/>
    <w:basedOn w:val="berschrift7"/>
    <w:next w:val="Standard"/>
    <w:link w:val="berschrift8Zchn"/>
    <w:uiPriority w:val="1"/>
    <w:semiHidden/>
    <w:qFormat/>
    <w:rsid w:val="00686BD6"/>
    <w:pPr>
      <w:numPr>
        <w:ilvl w:val="7"/>
      </w:numPr>
      <w:ind w:left="1474" w:hanging="1474"/>
      <w:outlineLvl w:val="7"/>
    </w:pPr>
    <w:rPr>
      <w:szCs w:val="20"/>
    </w:rPr>
  </w:style>
  <w:style w:type="paragraph" w:styleId="berschrift9">
    <w:name w:val="heading 9"/>
    <w:basedOn w:val="berschrift8"/>
    <w:next w:val="Standard"/>
    <w:link w:val="berschrift9Zchn"/>
    <w:uiPriority w:val="1"/>
    <w:semiHidden/>
    <w:qFormat/>
    <w:rsid w:val="00686BD6"/>
    <w:pPr>
      <w:numPr>
        <w:ilvl w:val="8"/>
      </w:numPr>
      <w:ind w:left="1644" w:hanging="1644"/>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TitleBig">
    <w:name w:val="D Title Big"/>
    <w:basedOn w:val="Standard"/>
    <w:next w:val="DTitleSmall"/>
    <w:uiPriority w:val="99"/>
    <w:rsid w:val="00673944"/>
    <w:pPr>
      <w:spacing w:line="240" w:lineRule="auto"/>
      <w:jc w:val="center"/>
    </w:pPr>
    <w:rPr>
      <w:rFonts w:eastAsia="Times New Roman" w:cs="Times New Roman"/>
      <w:color w:val="003D76"/>
      <w:sz w:val="52"/>
      <w:szCs w:val="64"/>
    </w:rPr>
  </w:style>
  <w:style w:type="paragraph" w:customStyle="1" w:styleId="DTitleSmall">
    <w:name w:val="D Title Small"/>
    <w:basedOn w:val="Standard"/>
    <w:next w:val="Standard"/>
    <w:uiPriority w:val="99"/>
    <w:rsid w:val="00673944"/>
    <w:pPr>
      <w:spacing w:line="240" w:lineRule="auto"/>
      <w:jc w:val="center"/>
    </w:pPr>
    <w:rPr>
      <w:rFonts w:eastAsia="Times New Roman" w:cs="Times New Roman"/>
      <w:color w:val="003D76"/>
      <w:sz w:val="28"/>
      <w:szCs w:val="32"/>
    </w:rPr>
  </w:style>
  <w:style w:type="paragraph" w:customStyle="1" w:styleId="DDate">
    <w:name w:val="D Date"/>
    <w:basedOn w:val="Standard"/>
    <w:next w:val="Standard"/>
    <w:uiPriority w:val="99"/>
    <w:rsid w:val="00673944"/>
    <w:pPr>
      <w:spacing w:before="240" w:line="240" w:lineRule="auto"/>
      <w:jc w:val="center"/>
    </w:pPr>
    <w:rPr>
      <w:rFonts w:eastAsia="Times New Roman" w:cs="Times New Roman"/>
      <w:color w:val="003D76"/>
      <w:szCs w:val="24"/>
    </w:rPr>
  </w:style>
  <w:style w:type="paragraph" w:customStyle="1" w:styleId="DPlaceholder">
    <w:name w:val="D Placeholder"/>
    <w:basedOn w:val="Standard"/>
    <w:next w:val="Standard"/>
    <w:uiPriority w:val="99"/>
    <w:qFormat/>
    <w:rsid w:val="006C5100"/>
    <w:pPr>
      <w:spacing w:after="2000"/>
    </w:pPr>
    <w:rPr>
      <w:lang w:val="en-US"/>
    </w:rPr>
  </w:style>
  <w:style w:type="paragraph" w:customStyle="1" w:styleId="DCopyright">
    <w:name w:val="D Copyright"/>
    <w:basedOn w:val="Standard"/>
    <w:uiPriority w:val="99"/>
    <w:rsid w:val="00457FA8"/>
    <w:pPr>
      <w:spacing w:after="60" w:line="200" w:lineRule="atLeast"/>
    </w:pPr>
    <w:rPr>
      <w:rFonts w:eastAsia="Times New Roman" w:cs="Times New Roman"/>
      <w:sz w:val="14"/>
      <w:szCs w:val="24"/>
    </w:rPr>
  </w:style>
  <w:style w:type="paragraph" w:styleId="Sprechblasentext">
    <w:name w:val="Balloon Text"/>
    <w:basedOn w:val="Standard"/>
    <w:link w:val="SprechblasentextZchn"/>
    <w:uiPriority w:val="99"/>
    <w:semiHidden/>
    <w:unhideWhenUsed/>
    <w:rsid w:val="00686BD6"/>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BD6"/>
    <w:rPr>
      <w:rFonts w:ascii="Tahoma" w:hAnsi="Tahoma" w:cs="Tahoma"/>
      <w:sz w:val="16"/>
      <w:szCs w:val="16"/>
    </w:rPr>
  </w:style>
  <w:style w:type="paragraph" w:customStyle="1" w:styleId="DContent">
    <w:name w:val="D Content"/>
    <w:basedOn w:val="Standard"/>
    <w:next w:val="Standard"/>
    <w:uiPriority w:val="99"/>
    <w:rsid w:val="00457FA8"/>
    <w:pPr>
      <w:spacing w:before="480" w:after="200" w:line="240" w:lineRule="auto"/>
    </w:pPr>
    <w:rPr>
      <w:rFonts w:eastAsia="Times New Roman" w:cs="Times New Roman"/>
      <w:color w:val="003D76"/>
      <w:sz w:val="28"/>
      <w:szCs w:val="24"/>
      <w:lang w:val="en-US"/>
    </w:rPr>
  </w:style>
  <w:style w:type="paragraph" w:styleId="Verzeichnis1">
    <w:name w:val="toc 1"/>
    <w:basedOn w:val="Standard"/>
    <w:next w:val="Standard"/>
    <w:autoRedefine/>
    <w:uiPriority w:val="39"/>
    <w:unhideWhenUsed/>
    <w:rsid w:val="00D50EC2"/>
    <w:pPr>
      <w:tabs>
        <w:tab w:val="right" w:leader="underscore" w:pos="8902"/>
      </w:tabs>
      <w:ind w:left="221" w:right="-30" w:hanging="221"/>
    </w:pPr>
    <w:rPr>
      <w:rFonts w:eastAsia="Times New Roman" w:cs="Times New Roman"/>
      <w:b/>
      <w:bCs/>
      <w:iCs/>
      <w:noProof/>
      <w:szCs w:val="24"/>
    </w:rPr>
  </w:style>
  <w:style w:type="character" w:styleId="Link">
    <w:name w:val="Hyperlink"/>
    <w:basedOn w:val="Absatz-Standardschriftart"/>
    <w:uiPriority w:val="99"/>
    <w:unhideWhenUsed/>
    <w:rsid w:val="004C77FD"/>
    <w:rPr>
      <w:rFonts w:ascii="Open Sans" w:hAnsi="Open Sans"/>
      <w:color w:val="0000FF" w:themeColor="hyperlink"/>
      <w:sz w:val="20"/>
      <w:u w:val="single"/>
    </w:rPr>
  </w:style>
  <w:style w:type="character" w:customStyle="1" w:styleId="berschrift1Zchn">
    <w:name w:val="Überschrift 1 Zchn"/>
    <w:basedOn w:val="Absatz-Standardschriftart"/>
    <w:link w:val="berschrift1"/>
    <w:uiPriority w:val="1"/>
    <w:rsid w:val="00A26385"/>
    <w:rPr>
      <w:rFonts w:eastAsia="Times New Roman" w:cs="Times New Roman"/>
      <w:bCs/>
      <w:color w:val="003D76"/>
      <w:sz w:val="24"/>
      <w:szCs w:val="24"/>
      <w:lang w:eastAsia="de-DE"/>
    </w:rPr>
  </w:style>
  <w:style w:type="character" w:customStyle="1" w:styleId="berschrift2Zchn">
    <w:name w:val="Überschrift 2 Zchn"/>
    <w:basedOn w:val="Absatz-Standardschriftart"/>
    <w:link w:val="berschrift2"/>
    <w:uiPriority w:val="1"/>
    <w:rsid w:val="00AD726F"/>
    <w:rPr>
      <w:rFonts w:eastAsia="Times New Roman" w:cs="Times New Roman"/>
      <w:color w:val="003D76"/>
      <w:sz w:val="24"/>
      <w:szCs w:val="24"/>
      <w:lang w:eastAsia="de-DE"/>
    </w:rPr>
  </w:style>
  <w:style w:type="character" w:customStyle="1" w:styleId="berschrift3Zchn">
    <w:name w:val="Überschrift 3 Zchn"/>
    <w:basedOn w:val="Absatz-Standardschriftart"/>
    <w:link w:val="berschrift3"/>
    <w:uiPriority w:val="1"/>
    <w:rsid w:val="00AD726F"/>
    <w:rPr>
      <w:rFonts w:eastAsia="Times New Roman" w:cs="Times New Roman"/>
      <w:bCs/>
      <w:color w:val="003D76"/>
      <w:sz w:val="22"/>
      <w:szCs w:val="24"/>
      <w:lang w:eastAsia="de-DE"/>
    </w:rPr>
  </w:style>
  <w:style w:type="character" w:customStyle="1" w:styleId="berschrift4Zchn">
    <w:name w:val="Überschrift 4 Zchn"/>
    <w:basedOn w:val="Absatz-Standardschriftart"/>
    <w:link w:val="berschrift4"/>
    <w:uiPriority w:val="1"/>
    <w:rsid w:val="00AD726F"/>
    <w:rPr>
      <w:rFonts w:eastAsia="Times New Roman" w:cs="Times New Roman"/>
      <w:bCs/>
      <w:color w:val="003D76"/>
      <w:sz w:val="22"/>
      <w:szCs w:val="24"/>
      <w:lang w:eastAsia="de-DE"/>
    </w:rPr>
  </w:style>
  <w:style w:type="character" w:customStyle="1" w:styleId="berschrift5Zchn">
    <w:name w:val="Überschrift 5 Zchn"/>
    <w:basedOn w:val="Absatz-Standardschriftart"/>
    <w:link w:val="berschrift5"/>
    <w:uiPriority w:val="1"/>
    <w:rsid w:val="00AD726F"/>
    <w:rPr>
      <w:rFonts w:eastAsia="Times New Roman" w:cs="Times New Roman"/>
      <w:iCs/>
      <w:color w:val="003D76"/>
      <w:sz w:val="22"/>
      <w:szCs w:val="26"/>
      <w:lang w:eastAsia="de-DE"/>
    </w:rPr>
  </w:style>
  <w:style w:type="character" w:customStyle="1" w:styleId="berschrift6Zchn">
    <w:name w:val="Überschrift 6 Zchn"/>
    <w:basedOn w:val="Absatz-Standardschriftart"/>
    <w:link w:val="berschrift6"/>
    <w:uiPriority w:val="1"/>
    <w:rsid w:val="00AD726F"/>
    <w:rPr>
      <w:rFonts w:eastAsia="Times New Roman" w:cs="Times New Roman"/>
      <w:bCs/>
      <w:iCs/>
      <w:color w:val="003D76"/>
      <w:sz w:val="22"/>
      <w:lang w:eastAsia="de-DE"/>
    </w:rPr>
  </w:style>
  <w:style w:type="character" w:customStyle="1" w:styleId="berschrift7Zchn">
    <w:name w:val="Überschrift 7 Zchn"/>
    <w:basedOn w:val="Absatz-Standardschriftart"/>
    <w:link w:val="berschrift7"/>
    <w:uiPriority w:val="1"/>
    <w:semiHidden/>
    <w:rsid w:val="00CF37F8"/>
    <w:rPr>
      <w:rFonts w:eastAsiaTheme="majorEastAsia" w:cstheme="majorBidi"/>
      <w:bCs/>
      <w:color w:val="003D76"/>
      <w:sz w:val="22"/>
      <w:lang w:eastAsia="de-DE"/>
    </w:rPr>
  </w:style>
  <w:style w:type="character" w:customStyle="1" w:styleId="berschrift8Zchn">
    <w:name w:val="Überschrift 8 Zchn"/>
    <w:basedOn w:val="Absatz-Standardschriftart"/>
    <w:link w:val="berschrift8"/>
    <w:uiPriority w:val="1"/>
    <w:semiHidden/>
    <w:rsid w:val="00CF37F8"/>
    <w:rPr>
      <w:rFonts w:eastAsiaTheme="majorEastAsia" w:cstheme="majorBidi"/>
      <w:bCs/>
      <w:color w:val="003D76"/>
      <w:sz w:val="22"/>
      <w:szCs w:val="20"/>
      <w:lang w:eastAsia="de-DE"/>
    </w:rPr>
  </w:style>
  <w:style w:type="character" w:customStyle="1" w:styleId="berschrift9Zchn">
    <w:name w:val="Überschrift 9 Zchn"/>
    <w:basedOn w:val="Absatz-Standardschriftart"/>
    <w:link w:val="berschrift9"/>
    <w:uiPriority w:val="1"/>
    <w:semiHidden/>
    <w:rsid w:val="00CF37F8"/>
    <w:rPr>
      <w:rFonts w:eastAsiaTheme="majorEastAsia" w:cstheme="majorBidi"/>
      <w:bCs/>
      <w:iCs/>
      <w:color w:val="003D76"/>
      <w:sz w:val="22"/>
      <w:szCs w:val="20"/>
      <w:lang w:eastAsia="de-DE"/>
    </w:rPr>
  </w:style>
  <w:style w:type="character" w:customStyle="1" w:styleId="DCourierNewGreen">
    <w:name w:val="D Courier New Green"/>
    <w:basedOn w:val="Absatz-Standardschriftart"/>
    <w:uiPriority w:val="3"/>
    <w:rsid w:val="00F53324"/>
    <w:rPr>
      <w:rFonts w:ascii="Courier New" w:hAnsi="Courier New"/>
      <w:noProof/>
      <w:color w:val="008000"/>
      <w:sz w:val="16"/>
      <w:lang w:val="en-US"/>
    </w:rPr>
  </w:style>
  <w:style w:type="character" w:customStyle="1" w:styleId="DCourierNewLightBlue">
    <w:name w:val="D Courier New Light Blue"/>
    <w:basedOn w:val="Absatz-Standardschriftart"/>
    <w:uiPriority w:val="3"/>
    <w:rsid w:val="00F53324"/>
    <w:rPr>
      <w:rFonts w:ascii="Courier New" w:hAnsi="Courier New"/>
      <w:noProof/>
      <w:color w:val="333399"/>
      <w:sz w:val="16"/>
      <w:lang w:val="en-US"/>
    </w:rPr>
  </w:style>
  <w:style w:type="character" w:customStyle="1" w:styleId="DCourierNewRedBold">
    <w:name w:val="D Courier New Red Bold"/>
    <w:basedOn w:val="Absatz-Standardschriftart"/>
    <w:uiPriority w:val="3"/>
    <w:rsid w:val="00F53324"/>
    <w:rPr>
      <w:rFonts w:ascii="Courier New" w:hAnsi="Courier New"/>
      <w:b/>
      <w:noProof/>
      <w:color w:val="800000"/>
      <w:sz w:val="16"/>
      <w:lang w:val="en-US"/>
    </w:rPr>
  </w:style>
  <w:style w:type="character" w:customStyle="1" w:styleId="DCourierNewGrey">
    <w:name w:val="D Courier New Grey"/>
    <w:basedOn w:val="Absatz-Standardschriftart"/>
    <w:uiPriority w:val="3"/>
    <w:rsid w:val="00F53324"/>
    <w:rPr>
      <w:rFonts w:ascii="Courier New" w:hAnsi="Courier New"/>
      <w:noProof/>
      <w:color w:val="808080"/>
      <w:sz w:val="16"/>
      <w:lang w:val="en-US"/>
    </w:rPr>
  </w:style>
  <w:style w:type="character" w:customStyle="1" w:styleId="DCourierNewDarkBlue">
    <w:name w:val="D Courier New Dark Blue"/>
    <w:basedOn w:val="Absatz-Standardschriftart"/>
    <w:uiPriority w:val="3"/>
    <w:rsid w:val="00F53324"/>
    <w:rPr>
      <w:rFonts w:ascii="Courier New" w:hAnsi="Courier New"/>
      <w:noProof/>
      <w:color w:val="000080"/>
      <w:sz w:val="16"/>
      <w:lang w:val="en-US"/>
    </w:rPr>
  </w:style>
  <w:style w:type="paragraph" w:customStyle="1" w:styleId="DCourierNewBlock">
    <w:name w:val="D Courier New Block"/>
    <w:basedOn w:val="Standard"/>
    <w:link w:val="DCourierNewBlockZchn"/>
    <w:uiPriority w:val="3"/>
    <w:rsid w:val="006F4562"/>
    <w:pPr>
      <w:spacing w:before="60" w:after="60" w:line="240" w:lineRule="auto"/>
    </w:pPr>
    <w:rPr>
      <w:rFonts w:ascii="Courier New" w:eastAsia="Times New Roman" w:hAnsi="Courier New" w:cs="Times New Roman"/>
      <w:noProof/>
      <w:sz w:val="16"/>
      <w:szCs w:val="20"/>
      <w:lang w:val="de-DE"/>
    </w:rPr>
  </w:style>
  <w:style w:type="character" w:customStyle="1" w:styleId="DCourierNewBlockZchn">
    <w:name w:val="D Courier New Block Zchn"/>
    <w:basedOn w:val="Absatz-Standardschriftart"/>
    <w:link w:val="DCourierNewBlock"/>
    <w:uiPriority w:val="3"/>
    <w:rsid w:val="00CF37F8"/>
    <w:rPr>
      <w:rFonts w:ascii="Courier New" w:eastAsia="Times New Roman" w:hAnsi="Courier New" w:cs="Times New Roman"/>
      <w:noProof/>
      <w:sz w:val="16"/>
      <w:szCs w:val="20"/>
      <w:lang w:val="de-DE"/>
    </w:rPr>
  </w:style>
  <w:style w:type="table" w:customStyle="1" w:styleId="DTableColorAll">
    <w:name w:val="D Table Color All"/>
    <w:basedOn w:val="NormaleTabelle"/>
    <w:uiPriority w:val="99"/>
    <w:qFormat/>
    <w:rsid w:val="003021C0"/>
    <w:pPr>
      <w:spacing w:after="0" w:line="240" w:lineRule="auto"/>
    </w:pPr>
    <w:rPr>
      <w:rFonts w:eastAsia="Times New Roman" w:cs="Times New Roman"/>
      <w:color w:val="auto"/>
      <w:szCs w:val="20"/>
      <w:lang w:val="en-US"/>
    </w:rPr>
    <w:tblPr>
      <w:tblStyleRowBandSize w:val="1"/>
      <w:tblStyleColBandSize w:val="1"/>
      <w:tblInd w:w="57" w:type="dxa"/>
      <w:tblCellMar>
        <w:top w:w="0" w:type="dxa"/>
        <w:left w:w="57" w:type="dxa"/>
        <w:bottom w:w="0" w:type="dxa"/>
        <w:right w:w="57" w:type="dxa"/>
      </w:tblCellMar>
    </w:tblPr>
    <w:tcPr>
      <w:shd w:val="clear" w:color="auto" w:fill="F1F2F5"/>
    </w:tcPr>
    <w:tblStylePr w:type="firstRow">
      <w:rPr>
        <w:rFonts w:ascii="Open Sans" w:hAnsi="Open Sans"/>
        <w:b/>
        <w:i w:val="0"/>
        <w:color w:val="FFFFFF" w:themeColor="background1"/>
        <w:sz w:val="20"/>
      </w:rPr>
      <w:tblPr/>
      <w:tcPr>
        <w:shd w:val="clear" w:color="auto" w:fill="003D76"/>
      </w:tcPr>
    </w:tblStylePr>
  </w:style>
  <w:style w:type="table" w:customStyle="1" w:styleId="DTable">
    <w:name w:val="D Table"/>
    <w:basedOn w:val="NormaleTabelle"/>
    <w:rsid w:val="00C04A56"/>
    <w:pPr>
      <w:spacing w:after="0" w:line="0" w:lineRule="atLeast"/>
    </w:pPr>
    <w:rPr>
      <w:rFonts w:eastAsia="Times New Roman" w:cs="Times New Roman"/>
      <w:color w:val="auto"/>
      <w:szCs w:val="20"/>
      <w:lang w:val="en-US"/>
    </w:rPr>
    <w:tblPr>
      <w:tblStyleRowBandSize w:val="1"/>
      <w:tblStyleColBandSize w:val="1"/>
      <w:tblInd w:w="57" w:type="dxa"/>
      <w:tblBorders>
        <w:top w:val="single" w:sz="4" w:space="0" w:color="3D3D3C"/>
        <w:left w:val="single" w:sz="4" w:space="0" w:color="3D3D3C"/>
        <w:bottom w:val="single" w:sz="4" w:space="0" w:color="3D3D3C"/>
        <w:right w:val="single" w:sz="4" w:space="0" w:color="3D3D3C"/>
        <w:insideH w:val="single" w:sz="4" w:space="0" w:color="3D3D3C"/>
        <w:insideV w:val="single" w:sz="4" w:space="0" w:color="3D3D3C"/>
      </w:tblBorders>
      <w:tblCellMar>
        <w:top w:w="0" w:type="dxa"/>
        <w:left w:w="57" w:type="dxa"/>
        <w:bottom w:w="0" w:type="dxa"/>
        <w:right w:w="57" w:type="dxa"/>
      </w:tblCellMar>
    </w:tblPr>
    <w:tcPr>
      <w:shd w:val="clear" w:color="auto" w:fill="auto"/>
    </w:tcPr>
    <w:tblStylePr w:type="firstRow">
      <w:rPr>
        <w:b w:val="0"/>
        <w:i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DTableFormatted">
    <w:name w:val="D Table Formatted"/>
    <w:basedOn w:val="DTable"/>
    <w:uiPriority w:val="99"/>
    <w:qFormat/>
    <w:rsid w:val="008E046E"/>
    <w:pPr>
      <w:spacing w:line="240" w:lineRule="auto"/>
    </w:pPr>
    <w:tblPr>
      <w:tblStyleRowBandSize w:val="1"/>
      <w:tblStyleColBandSize w:val="1"/>
      <w:tblInd w:w="57" w:type="dxa"/>
      <w:tblBorders>
        <w:top w:val="single" w:sz="4" w:space="0" w:color="3D3D3C"/>
        <w:left w:val="single" w:sz="4" w:space="0" w:color="3D3D3C"/>
        <w:bottom w:val="single" w:sz="4" w:space="0" w:color="3D3D3C"/>
        <w:right w:val="single" w:sz="4" w:space="0" w:color="3D3D3C"/>
        <w:insideH w:val="single" w:sz="4" w:space="0" w:color="3D3D3C"/>
        <w:insideV w:val="single" w:sz="4" w:space="0" w:color="3D3D3C"/>
      </w:tblBorders>
      <w:tblCellMar>
        <w:top w:w="0" w:type="dxa"/>
        <w:left w:w="57" w:type="dxa"/>
        <w:bottom w:w="0" w:type="dxa"/>
        <w:right w:w="57" w:type="dxa"/>
      </w:tblCellMar>
    </w:tblPr>
    <w:tcPr>
      <w:shd w:val="clear" w:color="auto" w:fill="auto"/>
    </w:tcPr>
    <w:tblStylePr w:type="firstRow">
      <w:rPr>
        <w:b/>
        <w:i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D76"/>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1F2F5"/>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DTableWhite">
    <w:name w:val="D Table White"/>
    <w:basedOn w:val="DTable"/>
    <w:uiPriority w:val="99"/>
    <w:qFormat/>
    <w:rsid w:val="007F71A3"/>
    <w:tblPr>
      <w:tblStyleRowBandSize w:val="1"/>
      <w:tblStyleColBandSize w:val="1"/>
      <w:tblInd w:w="57" w:type="dxa"/>
      <w:tblBorders>
        <w:top w:val="single" w:sz="4" w:space="0" w:color="3D3D3C"/>
        <w:left w:val="single" w:sz="4" w:space="0" w:color="3D3D3C"/>
        <w:bottom w:val="single" w:sz="4" w:space="0" w:color="3D3D3C"/>
        <w:right w:val="single" w:sz="4" w:space="0" w:color="3D3D3C"/>
        <w:insideH w:val="single" w:sz="4" w:space="0" w:color="3D3D3C"/>
        <w:insideV w:val="single" w:sz="4" w:space="0" w:color="3D3D3C"/>
      </w:tblBorders>
      <w:tblCellMar>
        <w:top w:w="0" w:type="dxa"/>
        <w:left w:w="57" w:type="dxa"/>
        <w:bottom w:w="0" w:type="dxa"/>
        <w:right w:w="57" w:type="dxa"/>
      </w:tblCellMar>
    </w:tblPr>
    <w:tcPr>
      <w:shd w:val="clear" w:color="auto" w:fill="auto"/>
    </w:tcPr>
    <w:tblStylePr w:type="firstRow">
      <w:rPr>
        <w:b/>
        <w:i w:val="0"/>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D76"/>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Tabellenraster">
    <w:name w:val="Table Grid"/>
    <w:basedOn w:val="NormaleTabelle"/>
    <w:uiPriority w:val="59"/>
    <w:rsid w:val="006F4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talics">
    <w:name w:val="D Italics"/>
    <w:basedOn w:val="Absatz-Standardschriftart"/>
    <w:uiPriority w:val="2"/>
    <w:qFormat/>
    <w:rsid w:val="00840C12"/>
    <w:rPr>
      <w:rFonts w:ascii="Arial" w:hAnsi="Arial"/>
      <w:i/>
      <w:sz w:val="20"/>
    </w:rPr>
  </w:style>
  <w:style w:type="character" w:customStyle="1" w:styleId="DCourierNew">
    <w:name w:val="D Courier New"/>
    <w:basedOn w:val="Absatz-Standardschriftart"/>
    <w:uiPriority w:val="3"/>
    <w:qFormat/>
    <w:rsid w:val="00BA2635"/>
    <w:rPr>
      <w:rFonts w:ascii="Courier New" w:hAnsi="Courier New"/>
      <w:sz w:val="18"/>
    </w:rPr>
  </w:style>
  <w:style w:type="character" w:customStyle="1" w:styleId="DBold">
    <w:name w:val="D Bold"/>
    <w:basedOn w:val="Absatz-Standardschriftart"/>
    <w:uiPriority w:val="2"/>
    <w:qFormat/>
    <w:rsid w:val="00840C12"/>
    <w:rPr>
      <w:rFonts w:ascii="Arial" w:hAnsi="Arial"/>
      <w:b/>
      <w:sz w:val="20"/>
    </w:rPr>
  </w:style>
  <w:style w:type="paragraph" w:customStyle="1" w:styleId="DListBullet1">
    <w:name w:val="D List Bullet 1"/>
    <w:basedOn w:val="Standard"/>
    <w:next w:val="Standard"/>
    <w:uiPriority w:val="1"/>
    <w:qFormat/>
    <w:rsid w:val="00BA2635"/>
    <w:pPr>
      <w:numPr>
        <w:numId w:val="2"/>
      </w:numPr>
      <w:spacing w:before="80" w:after="80"/>
      <w:ind w:left="357" w:hanging="244"/>
    </w:pPr>
    <w:rPr>
      <w:rFonts w:eastAsia="Times New Roman" w:cs="Times New Roman"/>
      <w:szCs w:val="24"/>
    </w:rPr>
  </w:style>
  <w:style w:type="paragraph" w:customStyle="1" w:styleId="DListBullet2">
    <w:name w:val="D List Bullet 2"/>
    <w:basedOn w:val="DListBullet1"/>
    <w:next w:val="Standard"/>
    <w:uiPriority w:val="1"/>
    <w:qFormat/>
    <w:rsid w:val="00BA2635"/>
    <w:pPr>
      <w:numPr>
        <w:numId w:val="3"/>
      </w:numPr>
      <w:ind w:left="601" w:hanging="244"/>
    </w:pPr>
  </w:style>
  <w:style w:type="paragraph" w:customStyle="1" w:styleId="DListBullet3">
    <w:name w:val="D List Bullet 3"/>
    <w:basedOn w:val="DListBullet2"/>
    <w:next w:val="Standard"/>
    <w:uiPriority w:val="1"/>
    <w:qFormat/>
    <w:rsid w:val="00BA2635"/>
    <w:pPr>
      <w:numPr>
        <w:numId w:val="4"/>
      </w:numPr>
      <w:ind w:left="851" w:hanging="244"/>
    </w:pPr>
  </w:style>
  <w:style w:type="paragraph" w:customStyle="1" w:styleId="DListNumber1">
    <w:name w:val="D List Number 1"/>
    <w:basedOn w:val="Standard"/>
    <w:next w:val="Standard"/>
    <w:uiPriority w:val="1"/>
    <w:qFormat/>
    <w:rsid w:val="00BA2635"/>
    <w:pPr>
      <w:numPr>
        <w:numId w:val="5"/>
      </w:numPr>
      <w:spacing w:before="80" w:after="80"/>
      <w:ind w:left="357" w:hanging="357"/>
    </w:pPr>
    <w:rPr>
      <w:rFonts w:eastAsia="Times New Roman" w:cs="Times New Roman"/>
      <w:szCs w:val="24"/>
    </w:rPr>
  </w:style>
  <w:style w:type="paragraph" w:customStyle="1" w:styleId="DListNumber2">
    <w:name w:val="D List Number 2"/>
    <w:basedOn w:val="Standard"/>
    <w:next w:val="Standard"/>
    <w:uiPriority w:val="1"/>
    <w:qFormat/>
    <w:rsid w:val="00BA2635"/>
    <w:pPr>
      <w:numPr>
        <w:ilvl w:val="1"/>
        <w:numId w:val="5"/>
      </w:numPr>
      <w:tabs>
        <w:tab w:val="left" w:pos="964"/>
      </w:tabs>
      <w:spacing w:before="80" w:after="80"/>
      <w:ind w:left="867" w:hanging="510"/>
    </w:pPr>
    <w:rPr>
      <w:rFonts w:eastAsia="Times New Roman" w:cs="Times New Roman"/>
      <w:szCs w:val="24"/>
    </w:rPr>
  </w:style>
  <w:style w:type="paragraph" w:customStyle="1" w:styleId="DListNumber3">
    <w:name w:val="D List Number 3"/>
    <w:basedOn w:val="Standard"/>
    <w:next w:val="Standard"/>
    <w:uiPriority w:val="1"/>
    <w:qFormat/>
    <w:rsid w:val="00BA2635"/>
    <w:pPr>
      <w:numPr>
        <w:ilvl w:val="2"/>
        <w:numId w:val="5"/>
      </w:numPr>
      <w:tabs>
        <w:tab w:val="left" w:pos="1531"/>
        <w:tab w:val="left" w:pos="1644"/>
      </w:tabs>
      <w:spacing w:before="80" w:after="80"/>
      <w:ind w:left="1400" w:hanging="680"/>
    </w:pPr>
    <w:rPr>
      <w:rFonts w:eastAsia="Times New Roman" w:cs="Times New Roman"/>
      <w:szCs w:val="24"/>
    </w:rPr>
  </w:style>
  <w:style w:type="paragraph" w:styleId="Kopfzeile">
    <w:name w:val="header"/>
    <w:basedOn w:val="Standard"/>
    <w:link w:val="KopfzeileZchn"/>
    <w:uiPriority w:val="99"/>
    <w:unhideWhenUsed/>
    <w:rsid w:val="00417D2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17D24"/>
  </w:style>
  <w:style w:type="paragraph" w:styleId="Fuzeile">
    <w:name w:val="footer"/>
    <w:basedOn w:val="Standard"/>
    <w:link w:val="FuzeileZchn"/>
    <w:uiPriority w:val="99"/>
    <w:unhideWhenUsed/>
    <w:rsid w:val="00417D2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17D24"/>
  </w:style>
  <w:style w:type="paragraph" w:styleId="Listenabsatz">
    <w:name w:val="List Paragraph"/>
    <w:basedOn w:val="Standard"/>
    <w:uiPriority w:val="34"/>
    <w:qFormat/>
    <w:rsid w:val="00FB4D31"/>
    <w:pPr>
      <w:ind w:left="720"/>
      <w:contextualSpacing/>
    </w:pPr>
  </w:style>
  <w:style w:type="paragraph" w:customStyle="1" w:styleId="Default">
    <w:name w:val="Default"/>
    <w:rsid w:val="00774646"/>
    <w:pPr>
      <w:widowControl w:val="0"/>
      <w:autoSpaceDE w:val="0"/>
      <w:autoSpaceDN w:val="0"/>
      <w:adjustRightInd w:val="0"/>
      <w:spacing w:after="0" w:line="240" w:lineRule="auto"/>
    </w:pPr>
    <w:rPr>
      <w:rFonts w:cs="Open Sans"/>
      <w:color w:val="000000"/>
      <w:sz w:val="24"/>
      <w:szCs w:val="24"/>
      <w:lang w:val="de-DE"/>
    </w:rPr>
  </w:style>
  <w:style w:type="paragraph" w:customStyle="1" w:styleId="Pa1">
    <w:name w:val="Pa1"/>
    <w:basedOn w:val="Default"/>
    <w:next w:val="Default"/>
    <w:uiPriority w:val="99"/>
    <w:rsid w:val="00774646"/>
    <w:pPr>
      <w:spacing w:line="241" w:lineRule="atLeast"/>
    </w:pPr>
    <w:rPr>
      <w:rFonts w:cstheme="minorBidi"/>
      <w:color w:val="3D3D3C"/>
    </w:rPr>
  </w:style>
  <w:style w:type="character" w:customStyle="1" w:styleId="A2">
    <w:name w:val="A2"/>
    <w:uiPriority w:val="99"/>
    <w:rsid w:val="00774646"/>
    <w:rPr>
      <w:rFonts w:cs="Open Sans"/>
      <w:color w:val="114581"/>
      <w:sz w:val="12"/>
      <w:szCs w:val="12"/>
    </w:rPr>
  </w:style>
  <w:style w:type="paragraph" w:styleId="Textkrper">
    <w:name w:val="Body Text"/>
    <w:basedOn w:val="Standard"/>
    <w:link w:val="TextkrperZchn"/>
    <w:uiPriority w:val="99"/>
    <w:unhideWhenUsed/>
    <w:qFormat/>
    <w:rsid w:val="000D3DA9"/>
    <w:pPr>
      <w:spacing w:before="0" w:after="0" w:line="360" w:lineRule="atLeast"/>
      <w:jc w:val="both"/>
    </w:pPr>
    <w:rPr>
      <w:rFonts w:asciiTheme="minorHAnsi" w:eastAsia="Times New Roman" w:hAnsiTheme="minorHAnsi" w:cs="Times New Roman"/>
      <w:color w:val="000000" w:themeColor="text1"/>
      <w:szCs w:val="20"/>
      <w:lang w:val="de-DE" w:eastAsia="de-DE"/>
    </w:rPr>
  </w:style>
  <w:style w:type="character" w:customStyle="1" w:styleId="TextkrperZchn">
    <w:name w:val="Textkörper Zchn"/>
    <w:basedOn w:val="Absatz-Standardschriftart"/>
    <w:link w:val="Textkrper"/>
    <w:uiPriority w:val="99"/>
    <w:rsid w:val="000D3DA9"/>
    <w:rPr>
      <w:rFonts w:asciiTheme="minorHAnsi" w:eastAsia="Times New Roman" w:hAnsiTheme="minorHAnsi" w:cs="Times New Roman"/>
      <w:color w:val="000000" w:themeColor="text1"/>
      <w:szCs w:val="20"/>
      <w:lang w:val="de-DE" w:eastAsia="de-DE"/>
    </w:rPr>
  </w:style>
  <w:style w:type="character" w:customStyle="1" w:styleId="apple-converted-space">
    <w:name w:val="apple-converted-space"/>
    <w:basedOn w:val="Absatz-Standardschriftart"/>
    <w:rsid w:val="000D3DA9"/>
  </w:style>
  <w:style w:type="paragraph" w:styleId="Verzeichnis2">
    <w:name w:val="toc 2"/>
    <w:basedOn w:val="Standard"/>
    <w:next w:val="Standard"/>
    <w:autoRedefine/>
    <w:uiPriority w:val="39"/>
    <w:unhideWhenUsed/>
    <w:rsid w:val="00643D1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46961">
      <w:bodyDiv w:val="1"/>
      <w:marLeft w:val="0"/>
      <w:marRight w:val="0"/>
      <w:marTop w:val="0"/>
      <w:marBottom w:val="0"/>
      <w:divBdr>
        <w:top w:val="none" w:sz="0" w:space="0" w:color="auto"/>
        <w:left w:val="none" w:sz="0" w:space="0" w:color="auto"/>
        <w:bottom w:val="none" w:sz="0" w:space="0" w:color="auto"/>
        <w:right w:val="none" w:sz="0" w:space="0" w:color="auto"/>
      </w:divBdr>
      <w:divsChild>
        <w:div w:id="605889193">
          <w:marLeft w:val="302"/>
          <w:marRight w:val="0"/>
          <w:marTop w:val="169"/>
          <w:marBottom w:val="0"/>
          <w:divBdr>
            <w:top w:val="none" w:sz="0" w:space="0" w:color="auto"/>
            <w:left w:val="none" w:sz="0" w:space="0" w:color="auto"/>
            <w:bottom w:val="none" w:sz="0" w:space="0" w:color="auto"/>
            <w:right w:val="none" w:sz="0" w:space="0" w:color="auto"/>
          </w:divBdr>
        </w:div>
        <w:div w:id="371539749">
          <w:marLeft w:val="302"/>
          <w:marRight w:val="0"/>
          <w:marTop w:val="169"/>
          <w:marBottom w:val="0"/>
          <w:divBdr>
            <w:top w:val="none" w:sz="0" w:space="0" w:color="auto"/>
            <w:left w:val="none" w:sz="0" w:space="0" w:color="auto"/>
            <w:bottom w:val="none" w:sz="0" w:space="0" w:color="auto"/>
            <w:right w:val="none" w:sz="0" w:space="0" w:color="auto"/>
          </w:divBdr>
        </w:div>
        <w:div w:id="1106388951">
          <w:marLeft w:val="302"/>
          <w:marRight w:val="0"/>
          <w:marTop w:val="169"/>
          <w:marBottom w:val="0"/>
          <w:divBdr>
            <w:top w:val="none" w:sz="0" w:space="0" w:color="auto"/>
            <w:left w:val="none" w:sz="0" w:space="0" w:color="auto"/>
            <w:bottom w:val="none" w:sz="0" w:space="0" w:color="auto"/>
            <w:right w:val="none" w:sz="0" w:space="0" w:color="auto"/>
          </w:divBdr>
        </w:div>
        <w:div w:id="1731539094">
          <w:marLeft w:val="302"/>
          <w:marRight w:val="0"/>
          <w:marTop w:val="169"/>
          <w:marBottom w:val="0"/>
          <w:divBdr>
            <w:top w:val="none" w:sz="0" w:space="0" w:color="auto"/>
            <w:left w:val="none" w:sz="0" w:space="0" w:color="auto"/>
            <w:bottom w:val="none" w:sz="0" w:space="0" w:color="auto"/>
            <w:right w:val="none" w:sz="0" w:space="0" w:color="auto"/>
          </w:divBdr>
        </w:div>
        <w:div w:id="1352950655">
          <w:marLeft w:val="302"/>
          <w:marRight w:val="0"/>
          <w:marTop w:val="169"/>
          <w:marBottom w:val="0"/>
          <w:divBdr>
            <w:top w:val="none" w:sz="0" w:space="0" w:color="auto"/>
            <w:left w:val="none" w:sz="0" w:space="0" w:color="auto"/>
            <w:bottom w:val="none" w:sz="0" w:space="0" w:color="auto"/>
            <w:right w:val="none" w:sz="0" w:space="0" w:color="auto"/>
          </w:divBdr>
        </w:div>
        <w:div w:id="1190532336">
          <w:marLeft w:val="302"/>
          <w:marRight w:val="0"/>
          <w:marTop w:val="169"/>
          <w:marBottom w:val="0"/>
          <w:divBdr>
            <w:top w:val="none" w:sz="0" w:space="0" w:color="auto"/>
            <w:left w:val="none" w:sz="0" w:space="0" w:color="auto"/>
            <w:bottom w:val="none" w:sz="0" w:space="0" w:color="auto"/>
            <w:right w:val="none" w:sz="0" w:space="0" w:color="auto"/>
          </w:divBdr>
        </w:div>
        <w:div w:id="276642037">
          <w:marLeft w:val="302"/>
          <w:marRight w:val="0"/>
          <w:marTop w:val="169"/>
          <w:marBottom w:val="0"/>
          <w:divBdr>
            <w:top w:val="none" w:sz="0" w:space="0" w:color="auto"/>
            <w:left w:val="none" w:sz="0" w:space="0" w:color="auto"/>
            <w:bottom w:val="none" w:sz="0" w:space="0" w:color="auto"/>
            <w:right w:val="none" w:sz="0" w:space="0" w:color="auto"/>
          </w:divBdr>
        </w:div>
        <w:div w:id="113256340">
          <w:marLeft w:val="302"/>
          <w:marRight w:val="0"/>
          <w:marTop w:val="169"/>
          <w:marBottom w:val="0"/>
          <w:divBdr>
            <w:top w:val="none" w:sz="0" w:space="0" w:color="auto"/>
            <w:left w:val="none" w:sz="0" w:space="0" w:color="auto"/>
            <w:bottom w:val="none" w:sz="0" w:space="0" w:color="auto"/>
            <w:right w:val="none" w:sz="0" w:space="0" w:color="auto"/>
          </w:divBdr>
        </w:div>
        <w:div w:id="1686399120">
          <w:marLeft w:val="302"/>
          <w:marRight w:val="0"/>
          <w:marTop w:val="169"/>
          <w:marBottom w:val="0"/>
          <w:divBdr>
            <w:top w:val="none" w:sz="0" w:space="0" w:color="auto"/>
            <w:left w:val="none" w:sz="0" w:space="0" w:color="auto"/>
            <w:bottom w:val="none" w:sz="0" w:space="0" w:color="auto"/>
            <w:right w:val="none" w:sz="0" w:space="0" w:color="auto"/>
          </w:divBdr>
        </w:div>
        <w:div w:id="1528759234">
          <w:marLeft w:val="302"/>
          <w:marRight w:val="0"/>
          <w:marTop w:val="169"/>
          <w:marBottom w:val="0"/>
          <w:divBdr>
            <w:top w:val="none" w:sz="0" w:space="0" w:color="auto"/>
            <w:left w:val="none" w:sz="0" w:space="0" w:color="auto"/>
            <w:bottom w:val="none" w:sz="0" w:space="0" w:color="auto"/>
            <w:right w:val="none" w:sz="0" w:space="0" w:color="auto"/>
          </w:divBdr>
        </w:div>
        <w:div w:id="894775496">
          <w:marLeft w:val="302"/>
          <w:marRight w:val="0"/>
          <w:marTop w:val="169"/>
          <w:marBottom w:val="0"/>
          <w:divBdr>
            <w:top w:val="none" w:sz="0" w:space="0" w:color="auto"/>
            <w:left w:val="none" w:sz="0" w:space="0" w:color="auto"/>
            <w:bottom w:val="none" w:sz="0" w:space="0" w:color="auto"/>
            <w:right w:val="none" w:sz="0" w:space="0" w:color="auto"/>
          </w:divBdr>
        </w:div>
      </w:divsChild>
    </w:div>
    <w:div w:id="329875336">
      <w:bodyDiv w:val="1"/>
      <w:marLeft w:val="0"/>
      <w:marRight w:val="0"/>
      <w:marTop w:val="0"/>
      <w:marBottom w:val="0"/>
      <w:divBdr>
        <w:top w:val="none" w:sz="0" w:space="0" w:color="auto"/>
        <w:left w:val="none" w:sz="0" w:space="0" w:color="auto"/>
        <w:bottom w:val="none" w:sz="0" w:space="0" w:color="auto"/>
        <w:right w:val="none" w:sz="0" w:space="0" w:color="auto"/>
      </w:divBdr>
    </w:div>
    <w:div w:id="519779780">
      <w:bodyDiv w:val="1"/>
      <w:marLeft w:val="0"/>
      <w:marRight w:val="0"/>
      <w:marTop w:val="0"/>
      <w:marBottom w:val="0"/>
      <w:divBdr>
        <w:top w:val="none" w:sz="0" w:space="0" w:color="auto"/>
        <w:left w:val="none" w:sz="0" w:space="0" w:color="auto"/>
        <w:bottom w:val="none" w:sz="0" w:space="0" w:color="auto"/>
        <w:right w:val="none" w:sz="0" w:space="0" w:color="auto"/>
      </w:divBdr>
    </w:div>
    <w:div w:id="559636948">
      <w:bodyDiv w:val="1"/>
      <w:marLeft w:val="0"/>
      <w:marRight w:val="0"/>
      <w:marTop w:val="0"/>
      <w:marBottom w:val="0"/>
      <w:divBdr>
        <w:top w:val="none" w:sz="0" w:space="0" w:color="auto"/>
        <w:left w:val="none" w:sz="0" w:space="0" w:color="auto"/>
        <w:bottom w:val="none" w:sz="0" w:space="0" w:color="auto"/>
        <w:right w:val="none" w:sz="0" w:space="0" w:color="auto"/>
      </w:divBdr>
    </w:div>
    <w:div w:id="606080995">
      <w:bodyDiv w:val="1"/>
      <w:marLeft w:val="0"/>
      <w:marRight w:val="0"/>
      <w:marTop w:val="0"/>
      <w:marBottom w:val="0"/>
      <w:divBdr>
        <w:top w:val="none" w:sz="0" w:space="0" w:color="auto"/>
        <w:left w:val="none" w:sz="0" w:space="0" w:color="auto"/>
        <w:bottom w:val="none" w:sz="0" w:space="0" w:color="auto"/>
        <w:right w:val="none" w:sz="0" w:space="0" w:color="auto"/>
      </w:divBdr>
    </w:div>
    <w:div w:id="673991522">
      <w:bodyDiv w:val="1"/>
      <w:marLeft w:val="0"/>
      <w:marRight w:val="0"/>
      <w:marTop w:val="0"/>
      <w:marBottom w:val="0"/>
      <w:divBdr>
        <w:top w:val="none" w:sz="0" w:space="0" w:color="auto"/>
        <w:left w:val="none" w:sz="0" w:space="0" w:color="auto"/>
        <w:bottom w:val="none" w:sz="0" w:space="0" w:color="auto"/>
        <w:right w:val="none" w:sz="0" w:space="0" w:color="auto"/>
      </w:divBdr>
    </w:div>
    <w:div w:id="21147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fabasoft.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ndreas Dangl"/>
    <f:field ref="FSCFOLIO_1_1001_FieldCurrentDate" text="26.04.2024 03:27"/>
    <f:field ref="objvalidfrom" date="" text="" edit="true"/>
    <f:field ref="objvalidto" date="" text="" edit="true"/>
    <f:field ref="FSCFOLIO_1_1001_FieldReleasedVersionDate" text=""/>
    <f:field ref="FSCFOLIO_1_1001_FieldReleasedVersionNr" text=""/>
    <f:field ref="objname" text="Whitepaper_FabasoftCloud_Pharmaceutics_EN" edit="true"/>
    <f:field ref="objsubject" text="" edit="true"/>
    <f:field ref="objcreatedby" text="Stangl Christoph"/>
    <f:field ref="objcreatedat" date="2016-09-05T13:27:17" text="05.09.2016 13:27:17"/>
    <f:field ref="objchangedby" text="Stangl Christoph"/>
    <f:field ref="objmodifiedat" date="2017-03-01T08:01:06" text="01.03.2017 08:01:06"/>
    <f:field ref="objprimaryrelated__0_objname" text="Pharma" edit="true"/>
    <f:field ref="objprimaryrelated__0_objsubject" text="" edit="true"/>
    <f:field ref="objprimaryrelated__0_objcreatedby" text="Stangl Christoph"/>
    <f:field ref="objprimaryrelated__0_objcreatedat" date="2016-09-05T13:28:16" text="05.09.2016 13:28:16"/>
    <f:field ref="objprimaryrelated__0_objchangedby" text="Stingl Isabel"/>
    <f:field ref="objprimaryrelated__0_objmodifiedat" date="2019-06-27T11:57:40" text="27.06.2019 11:57:40"/>
  </f:record>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objname" text="Name"/>
    <f:field ref="objsubject" text="Betreff"/>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f:field ref="objprimaryrelated__0_objcreatedby" text="Erzeugt von"/>
    <f:field ref="objprimaryrelated__0_objcreatedat" text="Erzeugt am/um"/>
    <f:field ref="objprimaryrelated__0_objchangedby" text="Letzte Änderung von"/>
    <f:field ref="objprimaryrelated__0_objmodifiedat" text="Letzte Änderung am/um"/>
  </f:display>
  <f:identities>{"FSCFOLIO_1_1001":{"SignaturesFldCtx":null,"FieldLastSignature":null,"FieldLastSignatureBy":null,"FieldLastSignatureAt":null,"FieldLastSignatureRemark":null,"FieldCurrentUser":null,"FieldCurrentDate":null,"FieldReleasedVersionDate":null,"FieldReleasedVersionNr":null},"_":{"objvalidfrom":null,"objvalidto":null,"objname":null,"objsubject":null,"objcreatedby":null,"objcreatedat":null,"objchangedby":null,"objmodifiedat":null,"objprimaryrelated":null,"_0":null}}</f:identities>
  <f:translations>{}</f:translations>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C3E87F-241D-9546-869D-EFFE0597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2390</Words>
  <Characters>22301</Characters>
  <Application>Microsoft Macintosh Word</Application>
  <DocSecurity>0</DocSecurity>
  <Lines>3185</Lines>
  <Paragraphs>2469</Paragraphs>
  <ScaleCrop>false</ScaleCrop>
  <HeadingPairs>
    <vt:vector size="2" baseType="variant">
      <vt:variant>
        <vt:lpstr>Titel</vt:lpstr>
      </vt:variant>
      <vt:variant>
        <vt:i4>1</vt:i4>
      </vt:variant>
    </vt:vector>
  </HeadingPairs>
  <TitlesOfParts>
    <vt:vector size="1" baseType="lpstr">
      <vt:lpstr/>
    </vt:vector>
  </TitlesOfParts>
  <Company>Fabasoft</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Sodar, Stefan</dc:creator>
  <cp:lastModifiedBy>Christoph Stangl</cp:lastModifiedBy>
  <cp:revision>36</cp:revision>
  <cp:lastPrinted>2017-02-17T09:37:00Z</cp:lastPrinted>
  <dcterms:created xsi:type="dcterms:W3CDTF">2016-09-04T13:27:00Z</dcterms:created>
  <dcterms:modified xsi:type="dcterms:W3CDTF">2017-03-01T07:00:00Z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COO.6505.100.5.4902911</vt:lpwstr>
  </property>
  <property name="FSC#FSCFOLIO@1.1001:docpropproject" pid="3" fmtid="{D5CDD505-2E9C-101B-9397-08002B2CF9AE}">
    <vt:lpwstr/>
  </property>
  <property name="FSC#PersonnelFileNumber" pid="4" fmtid="{D5CDD505-2E9C-101B-9397-08002B2CF9AE}">
    <vt:lpwstr/>
  </property>
  <property name="FSC#PersonnelFileStatus" pid="5" fmtid="{D5CDD505-2E9C-101B-9397-08002B2CF9AE}">
    <vt:lpwstr/>
  </property>
  <property name="FSC#PersonnelFileSurname" pid="6" fmtid="{D5CDD505-2E9C-101B-9397-08002B2CF9AE}">
    <vt:lpwstr/>
  </property>
  <property name="FSC#PersonnelFileFirstname" pid="7" fmtid="{D5CDD505-2E9C-101B-9397-08002B2CF9AE}">
    <vt:lpwstr/>
  </property>
  <property name="FSC#PersonnelFileTitle" pid="8" fmtid="{D5CDD505-2E9C-101B-9397-08002B2CF9AE}">
    <vt:lpwstr/>
  </property>
  <property name="FSC#PersonnelFilePostTitle" pid="9" fmtid="{D5CDD505-2E9C-101B-9397-08002B2CF9AE}">
    <vt:lpwstr/>
  </property>
  <property name="FSC#PersonnelFileSex" pid="10" fmtid="{D5CDD505-2E9C-101B-9397-08002B2CF9AE}">
    <vt:lpwstr/>
  </property>
  <property name="FSC#PersonnelFileSalutation" pid="11" fmtid="{D5CDD505-2E9C-101B-9397-08002B2CF9AE}">
    <vt:lpwstr/>
  </property>
  <property name="FSC#PersonnelFilePreviousNames" pid="12" fmtid="{D5CDD505-2E9C-101B-9397-08002B2CF9AE}">
    <vt:lpwstr/>
  </property>
  <property name="FSC#PersonnelFileBirthDay" pid="13" fmtid="{D5CDD505-2E9C-101B-9397-08002B2CF9AE}">
    <vt:lpwstr/>
  </property>
  <property name="FSC#PersonnelFileEntryDate" pid="14" fmtid="{D5CDD505-2E9C-101B-9397-08002B2CF9AE}">
    <vt:lpwstr/>
  </property>
  <property name="FSC#PersonnelFileSeparationDate" pid="15" fmtid="{D5CDD505-2E9C-101B-9397-08002B2CF9AE}">
    <vt:lpwstr/>
  </property>
  <property name="FSC#PersonnelFileSocialSecId" pid="16" fmtid="{D5CDD505-2E9C-101B-9397-08002B2CF9AE}">
    <vt:lpwstr/>
  </property>
  <property name="FSC#PersonnelFileRemarks" pid="17" fmtid="{D5CDD505-2E9C-101B-9397-08002B2CF9AE}">
    <vt:lpwstr/>
  </property>
  <property name="FSC#PersonnelFileStreet" pid="18" fmtid="{D5CDD505-2E9C-101B-9397-08002B2CF9AE}">
    <vt:lpwstr/>
  </property>
  <property name="FSC#PersonnelFileZipCode" pid="19" fmtid="{D5CDD505-2E9C-101B-9397-08002B2CF9AE}">
    <vt:lpwstr/>
  </property>
  <property name="FSC#PersonnelFileCity" pid="20" fmtid="{D5CDD505-2E9C-101B-9397-08002B2CF9AE}">
    <vt:lpwstr/>
  </property>
  <property name="FSC#PersonnelFileState" pid="21" fmtid="{D5CDD505-2E9C-101B-9397-08002B2CF9AE}">
    <vt:lpwstr/>
  </property>
  <property name="FSC#PersonnelFileCountry" pid="22" fmtid="{D5CDD505-2E9C-101B-9397-08002B2CF9AE}">
    <vt:lpwstr/>
  </property>
  <property name="FSC#PersonnelFileEmail" pid="23" fmtid="{D5CDD505-2E9C-101B-9397-08002B2CF9AE}">
    <vt:lpwstr/>
  </property>
  <property name="FSC#PersonnelFilePhone" pid="24" fmtid="{D5CDD505-2E9C-101B-9397-08002B2CF9AE}">
    <vt:lpwstr/>
  </property>
  <property name="FSC#PersonnelFilePosition" pid="25" fmtid="{D5CDD505-2E9C-101B-9397-08002B2CF9AE}">
    <vt:lpwstr/>
  </property>
  <property name="FSC#PersonnelFileOrgUnit" pid="26" fmtid="{D5CDD505-2E9C-101B-9397-08002B2CF9AE}">
    <vt:lpwstr/>
  </property>
  <property name="FSC#PersonnelFileFunction" pid="27" fmtid="{D5CDD505-2E9C-101B-9397-08002B2CF9AE}">
    <vt:lpwstr/>
  </property>
  <property name="FSC#PersonnelFileWeeklyHours" pid="28" fmtid="{D5CDD505-2E9C-101B-9397-08002B2CF9AE}">
    <vt:lpwstr/>
  </property>
  <property name="FSC#PersonnelFileEmploymentType" pid="29" fmtid="{D5CDD505-2E9C-101B-9397-08002B2CF9AE}">
    <vt:lpwstr/>
  </property>
  <property name="FSC#PersonnelFileCostCenter" pid="30" fmtid="{D5CDD505-2E9C-101B-9397-08002B2CF9AE}">
    <vt:lpwstr/>
  </property>
  <property name="FSC#PersonnelFileCompanyName" pid="31" fmtid="{D5CDD505-2E9C-101B-9397-08002B2CF9AE}">
    <vt:lpwstr/>
  </property>
  <property name="FSC#PersonnelFileCompanyStreet" pid="32" fmtid="{D5CDD505-2E9C-101B-9397-08002B2CF9AE}">
    <vt:lpwstr/>
  </property>
  <property name="FSC#PersonnelFileCompanyZipCode" pid="33" fmtid="{D5CDD505-2E9C-101B-9397-08002B2CF9AE}">
    <vt:lpwstr/>
  </property>
  <property name="FSC#PersonnelFileCompanyCity" pid="34" fmtid="{D5CDD505-2E9C-101B-9397-08002B2CF9AE}">
    <vt:lpwstr/>
  </property>
  <property name="FSC#PersonnelFileCompanyState" pid="35" fmtid="{D5CDD505-2E9C-101B-9397-08002B2CF9AE}">
    <vt:lpwstr/>
  </property>
  <property name="FSC#PersonnelFileCompanyCountry" pid="36" fmtid="{D5CDD505-2E9C-101B-9397-08002B2CF9AE}">
    <vt:lpwstr/>
  </property>
  <property name="FSC#PersonnelFileCompanyEmail" pid="37" fmtid="{D5CDD505-2E9C-101B-9397-08002B2CF9AE}">
    <vt:lpwstr/>
  </property>
  <property name="FSC#PersonnelFileCompanyPhone" pid="38" fmtid="{D5CDD505-2E9C-101B-9397-08002B2CF9AE}">
    <vt:lpwstr/>
  </property>
  <property name="FSC#PersonnelFileCompanyTradeId" pid="39" fmtid="{D5CDD505-2E9C-101B-9397-08002B2CF9AE}">
    <vt:lpwstr/>
  </property>
  <property name="FSC#PersonnelFileCompanyVATId" pid="40" fmtid="{D5CDD505-2E9C-101B-9397-08002B2CF9AE}">
    <vt:lpwstr/>
  </property>
  <property name="FSC#PersonnelFileSupervisorSurname" pid="41" fmtid="{D5CDD505-2E9C-101B-9397-08002B2CF9AE}">
    <vt:lpwstr/>
  </property>
  <property name="FSC#PersonnelFileSupervisorFirstname" pid="42" fmtid="{D5CDD505-2E9C-101B-9397-08002B2CF9AE}">
    <vt:lpwstr/>
  </property>
  <property name="FSC#PersonnelFileSupervisorTitle" pid="43" fmtid="{D5CDD505-2E9C-101B-9397-08002B2CF9AE}">
    <vt:lpwstr/>
  </property>
  <property name="FSC#PersonnelFileSupervisorPostTitle" pid="44" fmtid="{D5CDD505-2E9C-101B-9397-08002B2CF9AE}">
    <vt:lpwstr/>
  </property>
  <property name="FSC#PersonnelFileSupervisorPosition" pid="45" fmtid="{D5CDD505-2E9C-101B-9397-08002B2CF9AE}">
    <vt:lpwstr/>
  </property>
  <property name="FSC#PersonnelFileSupervisorOrgUnit" pid="46" fmtid="{D5CDD505-2E9C-101B-9397-08002B2CF9AE}">
    <vt:lpwstr/>
  </property>
  <property name="FSC#PersonnelFileSupervisorCompany" pid="47" fmtid="{D5CDD505-2E9C-101B-9397-08002B2CF9AE}">
    <vt:lpwstr/>
  </property>
  <property name="FSC#PersonnelFileCurrentUserSurname" pid="48" fmtid="{D5CDD505-2E9C-101B-9397-08002B2CF9AE}">
    <vt:lpwstr/>
  </property>
  <property name="FSC#PersonnelFileCurrentUserFirstname" pid="49" fmtid="{D5CDD505-2E9C-101B-9397-08002B2CF9AE}">
    <vt:lpwstr/>
  </property>
  <property name="FSC#PersonnelFileCurrentUserTitle" pid="50" fmtid="{D5CDD505-2E9C-101B-9397-08002B2CF9AE}">
    <vt:lpwstr/>
  </property>
  <property name="FSC#PersonnelFileCurrentUserPostTitle" pid="51" fmtid="{D5CDD505-2E9C-101B-9397-08002B2CF9AE}">
    <vt:lpwstr/>
  </property>
  <property name="FSC#PersonnelFileCurrentUserPosition" pid="52" fmtid="{D5CDD505-2E9C-101B-9397-08002B2CF9AE}">
    <vt:lpwstr/>
  </property>
  <property name="FSC#PersonnelFileCurrentUserOrgUnit" pid="53" fmtid="{D5CDD505-2E9C-101B-9397-08002B2CF9AE}">
    <vt:lpwstr/>
  </property>
  <property name="FSC#PersonnelFileCurrentUserCompany" pid="54" fmtid="{D5CDD505-2E9C-101B-9397-08002B2CF9AE}">
    <vt:lpwstr/>
  </property>
  <property name="FSC#PersonnelFileBirthPlace" pid="55" fmtid="{D5CDD505-2E9C-101B-9397-08002B2CF9AE}">
    <vt:lpwstr/>
  </property>
  <property name="FSC#PersonnelFileNationality" pid="56" fmtid="{D5CDD505-2E9C-101B-9397-08002B2CF9AE}">
    <vt:lpwstr/>
  </property>
  <property name="FSC#PersonnelFileDenomination" pid="57" fmtid="{D5CDD505-2E9C-101B-9397-08002B2CF9AE}">
    <vt:lpwstr/>
  </property>
  <property name="FSC#PersonnelFilePostOfficeBox" pid="58" fmtid="{D5CDD505-2E9C-101B-9397-08002B2CF9AE}">
    <vt:lpwstr/>
  </property>
  <property name="FSC#PersonnelFileJobTitle" pid="59" fmtid="{D5CDD505-2E9C-101B-9397-08002B2CF9AE}">
    <vt:lpwstr/>
  </property>
  <property name="FSC#PersonnelFileOrgUnitType" pid="60" fmtid="{D5CDD505-2E9C-101B-9397-08002B2CF9AE}">
    <vt:lpwstr/>
  </property>
  <property name="FSC#PersonnelFileFullTimeEquivalent" pid="61" fmtid="{D5CDD505-2E9C-101B-9397-08002B2CF9AE}">
    <vt:lpwstr/>
  </property>
  <property name="FSC#PersonnelFileCompanyPostOfficeBox" pid="62" fmtid="{D5CDD505-2E9C-101B-9397-08002B2CF9AE}">
    <vt:lpwstr/>
  </property>
  <property name="FSC#PersonnelFileLocationName" pid="63" fmtid="{D5CDD505-2E9C-101B-9397-08002B2CF9AE}">
    <vt:lpwstr/>
  </property>
  <property name="FSC#PersonnelFileLocationStreet" pid="64" fmtid="{D5CDD505-2E9C-101B-9397-08002B2CF9AE}">
    <vt:lpwstr/>
  </property>
  <property name="FSC#PersonnelFileLocationPostOfficeBox" pid="65" fmtid="{D5CDD505-2E9C-101B-9397-08002B2CF9AE}">
    <vt:lpwstr/>
  </property>
  <property name="FSC#PersonnelFileLocationZipCode" pid="66" fmtid="{D5CDD505-2E9C-101B-9397-08002B2CF9AE}">
    <vt:lpwstr/>
  </property>
  <property name="FSC#PersonnelFileLocationCity" pid="67" fmtid="{D5CDD505-2E9C-101B-9397-08002B2CF9AE}">
    <vt:lpwstr/>
  </property>
  <property name="FSC#PersonnelFileLocationState" pid="68" fmtid="{D5CDD505-2E9C-101B-9397-08002B2CF9AE}">
    <vt:lpwstr/>
  </property>
  <property name="FSC#PersonnelFileLocationCountry" pid="69" fmtid="{D5CDD505-2E9C-101B-9397-08002B2CF9AE}">
    <vt:lpwstr/>
  </property>
  <property name="FSC#PersonnelFileLocationEmail" pid="70" fmtid="{D5CDD505-2E9C-101B-9397-08002B2CF9AE}">
    <vt:lpwstr/>
  </property>
  <property name="FSC#PersonnelFileLocationPhone" pid="71" fmtid="{D5CDD505-2E9C-101B-9397-08002B2CF9AE}">
    <vt:lpwstr/>
  </property>
  <property name="FSC#PersonnelFileSupervisorJobTitle" pid="72" fmtid="{D5CDD505-2E9C-101B-9397-08002B2CF9AE}">
    <vt:lpwstr/>
  </property>
  <property name="FSC#PersonnelFileSupervisorOrgUnitType" pid="73" fmtid="{D5CDD505-2E9C-101B-9397-08002B2CF9AE}">
    <vt:lpwstr/>
  </property>
  <property name="FSC#PersonnelFileSupervisorLocation" pid="74" fmtid="{D5CDD505-2E9C-101B-9397-08002B2CF9AE}">
    <vt:lpwstr/>
  </property>
  <property name="FSC#PersonnelFileCurrentUserJobTitle" pid="75" fmtid="{D5CDD505-2E9C-101B-9397-08002B2CF9AE}">
    <vt:lpwstr/>
  </property>
  <property name="FSC#PersonnelFileCurrentUserOrgUnitType" pid="76" fmtid="{D5CDD505-2E9C-101B-9397-08002B2CF9AE}">
    <vt:lpwstr/>
  </property>
  <property name="FSC#PersonnelFileBankAccountHolder" pid="77" fmtid="{D5CDD505-2E9C-101B-9397-08002B2CF9AE}">
    <vt:lpwstr/>
  </property>
  <property name="FSC#PersonnelFileBankAccountIBAN" pid="78" fmtid="{D5CDD505-2E9C-101B-9397-08002B2CF9AE}">
    <vt:lpwstr/>
  </property>
  <property name="FSC#PersonnelFileBankAccountBIC" pid="79" fmtid="{D5CDD505-2E9C-101B-9397-08002B2CF9AE}">
    <vt:lpwstr/>
  </property>
  <property name="FSC#PersonnelFileGrossIncomeValue" pid="80" fmtid="{D5CDD505-2E9C-101B-9397-08002B2CF9AE}">
    <vt:lpwstr/>
  </property>
  <property name="FSC#PersonnelFileGrossIncomeSymbol" pid="81" fmtid="{D5CDD505-2E9C-101B-9397-08002B2CF9AE}">
    <vt:lpwstr/>
  </property>
</Properties>
</file>